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8B8F942" w14:textId="77777777" w:rsidR="00C52815" w:rsidRDefault="00C52815">
      <w:pPr>
        <w:pStyle w:val="Char"/>
        <w:rPr>
          <w:rFonts w:ascii="Arial" w:hAnsi="Arial" w:cs="Arial"/>
        </w:rPr>
      </w:pPr>
      <w:bookmarkStart w:id="0" w:name="_Hlk114260216"/>
      <w:bookmarkStart w:id="1" w:name="OLE_LINK1"/>
      <w:bookmarkStart w:id="2" w:name="OLE_LINK2"/>
    </w:p>
    <w:p w14:paraId="1B3F519D" w14:textId="77777777" w:rsidR="00C52815" w:rsidRDefault="00C52815">
      <w:pPr>
        <w:jc w:val="center"/>
        <w:rPr>
          <w:rFonts w:ascii="Arial" w:hAnsi="Arial" w:cs="Arial"/>
          <w:b/>
          <w:sz w:val="52"/>
        </w:rPr>
      </w:pPr>
    </w:p>
    <w:p w14:paraId="672AB871" w14:textId="77777777" w:rsidR="00C52815" w:rsidRDefault="00C52815">
      <w:pPr>
        <w:jc w:val="center"/>
        <w:rPr>
          <w:rFonts w:ascii="Arial" w:hAnsi="Arial" w:cs="Arial"/>
          <w:b/>
          <w:sz w:val="52"/>
        </w:rPr>
      </w:pPr>
    </w:p>
    <w:p w14:paraId="6CF2C108" w14:textId="77777777" w:rsidR="00C52815" w:rsidRDefault="005C44F4">
      <w:pPr>
        <w:jc w:val="center"/>
        <w:rPr>
          <w:rFonts w:ascii="Arial" w:hAnsi="Arial" w:cs="Arial"/>
          <w:b/>
          <w:sz w:val="52"/>
        </w:rPr>
      </w:pPr>
      <w:r>
        <w:rPr>
          <w:rFonts w:ascii="Arial" w:hAnsi="Arial" w:cs="Arial"/>
          <w:b/>
          <w:sz w:val="52"/>
        </w:rPr>
        <w:t>嘉</w:t>
      </w:r>
      <w:proofErr w:type="gramStart"/>
      <w:r>
        <w:rPr>
          <w:rFonts w:ascii="Arial" w:hAnsi="Arial" w:cs="Arial"/>
          <w:b/>
          <w:sz w:val="52"/>
        </w:rPr>
        <w:t>实基金</w:t>
      </w:r>
      <w:proofErr w:type="gramEnd"/>
      <w:r>
        <w:rPr>
          <w:rFonts w:ascii="Arial" w:hAnsi="Arial" w:cs="Arial"/>
          <w:b/>
          <w:sz w:val="52"/>
        </w:rPr>
        <w:t>管理有限公司</w:t>
      </w:r>
    </w:p>
    <w:p w14:paraId="37E44505" w14:textId="77777777" w:rsidR="00C52815" w:rsidRPr="00594938" w:rsidRDefault="00C52815">
      <w:pPr>
        <w:rPr>
          <w:rFonts w:ascii="Arial" w:hAnsi="Arial" w:cs="Arial"/>
          <w:b/>
        </w:rPr>
      </w:pPr>
    </w:p>
    <w:p w14:paraId="4B38A70F" w14:textId="77777777" w:rsidR="00C52815" w:rsidRDefault="00C52815">
      <w:pPr>
        <w:jc w:val="center"/>
        <w:rPr>
          <w:rFonts w:ascii="Arial" w:hAnsi="Arial" w:cs="Arial"/>
          <w:b/>
          <w:sz w:val="52"/>
        </w:rPr>
      </w:pPr>
    </w:p>
    <w:p w14:paraId="2974B808" w14:textId="3A3099F7" w:rsidR="00C52815" w:rsidRDefault="0060068F">
      <w:pPr>
        <w:jc w:val="center"/>
        <w:rPr>
          <w:rFonts w:ascii="Arial" w:hAnsi="Arial" w:cs="Arial"/>
          <w:b/>
          <w:sz w:val="48"/>
        </w:rPr>
      </w:pPr>
      <w:bookmarkStart w:id="3" w:name="_Toc123701382"/>
      <w:bookmarkStart w:id="4" w:name="_Toc123112262"/>
      <w:bookmarkStart w:id="5" w:name="_Toc139992300"/>
      <w:bookmarkStart w:id="6" w:name="_Toc139991725"/>
      <w:bookmarkStart w:id="7" w:name="_Toc123112223"/>
      <w:r>
        <w:rPr>
          <w:rFonts w:ascii="Arial" w:hAnsi="Arial" w:cs="Arial"/>
          <w:b/>
          <w:sz w:val="48"/>
        </w:rPr>
        <w:t>嘉实</w:t>
      </w:r>
      <w:proofErr w:type="gramStart"/>
      <w:r>
        <w:rPr>
          <w:rFonts w:ascii="Arial" w:hAnsi="Arial" w:cs="Arial"/>
          <w:b/>
          <w:sz w:val="48"/>
        </w:rPr>
        <w:t>中证沪港</w:t>
      </w:r>
      <w:proofErr w:type="gramEnd"/>
      <w:r>
        <w:rPr>
          <w:rFonts w:ascii="Arial" w:hAnsi="Arial" w:cs="Arial"/>
          <w:b/>
          <w:sz w:val="48"/>
        </w:rPr>
        <w:t>深</w:t>
      </w:r>
      <w:proofErr w:type="gramStart"/>
      <w:r>
        <w:rPr>
          <w:rFonts w:ascii="Arial" w:hAnsi="Arial" w:cs="Arial"/>
          <w:b/>
          <w:sz w:val="48"/>
        </w:rPr>
        <w:t>云计算</w:t>
      </w:r>
      <w:proofErr w:type="gramEnd"/>
      <w:r>
        <w:rPr>
          <w:rFonts w:ascii="Arial" w:hAnsi="Arial" w:cs="Arial"/>
          <w:b/>
          <w:sz w:val="48"/>
        </w:rPr>
        <w:t>产业</w:t>
      </w:r>
      <w:r w:rsidR="005C44F4">
        <w:rPr>
          <w:rFonts w:ascii="Arial" w:hAnsi="Arial" w:cs="Arial"/>
          <w:b/>
          <w:sz w:val="48"/>
        </w:rPr>
        <w:t>交易型开放式指数证券投资基金</w:t>
      </w:r>
    </w:p>
    <w:p w14:paraId="7DC4C725" w14:textId="06D78955" w:rsidR="00C52815" w:rsidRDefault="005C44F4">
      <w:pPr>
        <w:jc w:val="center"/>
        <w:rPr>
          <w:rFonts w:ascii="Arial" w:hAnsi="Arial" w:cs="Arial"/>
          <w:b/>
          <w:sz w:val="48"/>
        </w:rPr>
      </w:pPr>
      <w:r>
        <w:rPr>
          <w:rFonts w:ascii="Arial" w:hAnsi="Arial" w:cs="Arial"/>
          <w:b/>
          <w:sz w:val="48"/>
        </w:rPr>
        <w:t>基金合同</w:t>
      </w:r>
      <w:bookmarkEnd w:id="3"/>
      <w:bookmarkEnd w:id="4"/>
      <w:bookmarkEnd w:id="5"/>
      <w:bookmarkEnd w:id="6"/>
      <w:bookmarkEnd w:id="7"/>
    </w:p>
    <w:p w14:paraId="0118D825" w14:textId="77777777" w:rsidR="00C52815" w:rsidRDefault="00C52815">
      <w:pPr>
        <w:jc w:val="center"/>
        <w:rPr>
          <w:rFonts w:ascii="Arial" w:hAnsi="Arial" w:cs="Arial"/>
          <w:b/>
          <w:sz w:val="48"/>
        </w:rPr>
      </w:pPr>
    </w:p>
    <w:p w14:paraId="3128C71A" w14:textId="77777777" w:rsidR="00C52815" w:rsidRDefault="00C52815">
      <w:pPr>
        <w:rPr>
          <w:rFonts w:ascii="Arial" w:hAnsi="Arial" w:cs="Arial"/>
          <w:b/>
          <w:sz w:val="48"/>
        </w:rPr>
      </w:pPr>
    </w:p>
    <w:p w14:paraId="046B0B1D" w14:textId="77777777" w:rsidR="00C52815" w:rsidRDefault="00C52815">
      <w:pPr>
        <w:jc w:val="center"/>
        <w:rPr>
          <w:rFonts w:ascii="Arial" w:hAnsi="Arial" w:cs="Arial"/>
          <w:b/>
          <w:sz w:val="52"/>
        </w:rPr>
      </w:pPr>
    </w:p>
    <w:p w14:paraId="19960E46" w14:textId="77777777" w:rsidR="00C52815" w:rsidRDefault="00C52815">
      <w:pPr>
        <w:jc w:val="center"/>
        <w:rPr>
          <w:rFonts w:ascii="Arial" w:hAnsi="Arial" w:cs="Arial"/>
          <w:b/>
          <w:sz w:val="52"/>
        </w:rPr>
      </w:pPr>
    </w:p>
    <w:p w14:paraId="2CAE4E23" w14:textId="77777777" w:rsidR="00C52815" w:rsidRDefault="00C52815">
      <w:pPr>
        <w:jc w:val="center"/>
        <w:rPr>
          <w:rFonts w:ascii="Arial" w:hAnsi="Arial" w:cs="Arial"/>
          <w:b/>
          <w:sz w:val="52"/>
        </w:rPr>
      </w:pPr>
    </w:p>
    <w:p w14:paraId="35F86779" w14:textId="77777777" w:rsidR="00C52815" w:rsidRDefault="00C52815">
      <w:pPr>
        <w:jc w:val="center"/>
        <w:rPr>
          <w:rFonts w:ascii="Arial" w:hAnsi="Arial" w:cs="Arial"/>
          <w:b/>
          <w:sz w:val="52"/>
        </w:rPr>
      </w:pPr>
    </w:p>
    <w:p w14:paraId="15A66B7B" w14:textId="77777777" w:rsidR="00C52815" w:rsidRDefault="00C52815">
      <w:pPr>
        <w:jc w:val="center"/>
        <w:rPr>
          <w:rFonts w:ascii="Arial" w:hAnsi="Arial" w:cs="Arial"/>
          <w:b/>
          <w:sz w:val="52"/>
        </w:rPr>
      </w:pPr>
    </w:p>
    <w:p w14:paraId="2C7619AA" w14:textId="77777777" w:rsidR="00C52815" w:rsidRDefault="00C52815">
      <w:pPr>
        <w:rPr>
          <w:rFonts w:ascii="Arial" w:hAnsi="Arial" w:cs="Arial"/>
          <w:b/>
        </w:rPr>
      </w:pPr>
    </w:p>
    <w:p w14:paraId="49C34947" w14:textId="77777777" w:rsidR="00C52815" w:rsidRDefault="005C44F4">
      <w:pPr>
        <w:jc w:val="center"/>
        <w:rPr>
          <w:rFonts w:ascii="Arial" w:hAnsi="Arial" w:cs="Arial"/>
          <w:b/>
          <w:sz w:val="36"/>
        </w:rPr>
      </w:pPr>
      <w:bookmarkStart w:id="8" w:name="_Toc123112263"/>
      <w:bookmarkStart w:id="9" w:name="_Toc123701383"/>
      <w:bookmarkStart w:id="10" w:name="_Toc139991726"/>
      <w:bookmarkStart w:id="11" w:name="_Toc139992301"/>
      <w:bookmarkStart w:id="12" w:name="_Toc123112224"/>
      <w:r>
        <w:rPr>
          <w:rFonts w:ascii="Arial" w:hAnsi="Arial" w:cs="Arial"/>
          <w:b/>
          <w:sz w:val="36"/>
        </w:rPr>
        <w:t>基金管理人：</w:t>
      </w:r>
      <w:bookmarkEnd w:id="8"/>
      <w:bookmarkEnd w:id="9"/>
      <w:bookmarkEnd w:id="10"/>
      <w:bookmarkEnd w:id="11"/>
      <w:bookmarkEnd w:id="12"/>
      <w:r>
        <w:rPr>
          <w:rFonts w:ascii="Arial" w:hAnsi="Arial" w:cs="Arial"/>
          <w:b/>
          <w:sz w:val="36"/>
        </w:rPr>
        <w:t>嘉</w:t>
      </w:r>
      <w:proofErr w:type="gramStart"/>
      <w:r>
        <w:rPr>
          <w:rFonts w:ascii="Arial" w:hAnsi="Arial" w:cs="Arial"/>
          <w:b/>
          <w:sz w:val="36"/>
        </w:rPr>
        <w:t>实基金</w:t>
      </w:r>
      <w:proofErr w:type="gramEnd"/>
      <w:r>
        <w:rPr>
          <w:rFonts w:ascii="Arial" w:hAnsi="Arial" w:cs="Arial"/>
          <w:b/>
          <w:sz w:val="36"/>
        </w:rPr>
        <w:t>管理有限公司</w:t>
      </w:r>
      <w:r>
        <w:rPr>
          <w:rFonts w:ascii="Arial" w:hAnsi="Arial" w:cs="Arial"/>
          <w:b/>
          <w:sz w:val="36"/>
        </w:rPr>
        <w:t xml:space="preserve">    </w:t>
      </w:r>
    </w:p>
    <w:p w14:paraId="63DEFD4F" w14:textId="08F4F2F0" w:rsidR="00C52815" w:rsidRDefault="005C44F4">
      <w:pPr>
        <w:jc w:val="center"/>
        <w:rPr>
          <w:rFonts w:ascii="Arial" w:hAnsi="Arial" w:cs="Arial"/>
          <w:b/>
          <w:sz w:val="36"/>
        </w:rPr>
      </w:pPr>
      <w:bookmarkStart w:id="13" w:name="_Toc123112264"/>
      <w:bookmarkStart w:id="14" w:name="_Toc123112225"/>
      <w:bookmarkStart w:id="15" w:name="_Toc123701384"/>
      <w:bookmarkStart w:id="16" w:name="_Toc139992302"/>
      <w:bookmarkStart w:id="17" w:name="_Toc139991727"/>
      <w:r>
        <w:rPr>
          <w:rFonts w:ascii="Arial" w:hAnsi="Arial" w:cs="Arial"/>
          <w:b/>
          <w:sz w:val="36"/>
        </w:rPr>
        <w:t>基金托管人</w:t>
      </w:r>
      <w:r w:rsidR="00594938">
        <w:rPr>
          <w:rFonts w:ascii="Arial" w:hAnsi="Arial" w:cs="Arial" w:hint="eastAsia"/>
          <w:b/>
          <w:sz w:val="36"/>
        </w:rPr>
        <w:t>：</w:t>
      </w:r>
      <w:r w:rsidR="0060068F">
        <w:rPr>
          <w:rFonts w:ascii="Arial" w:hAnsi="Arial" w:cs="Arial" w:hint="eastAsia"/>
          <w:b/>
          <w:sz w:val="36"/>
        </w:rPr>
        <w:t>中国建设银行</w:t>
      </w:r>
      <w:r>
        <w:rPr>
          <w:rFonts w:ascii="Arial" w:hAnsi="Arial" w:cs="Arial"/>
          <w:b/>
          <w:sz w:val="36"/>
        </w:rPr>
        <w:t>股份有限公司</w:t>
      </w:r>
      <w:r>
        <w:rPr>
          <w:rFonts w:ascii="Arial" w:hAnsi="Arial" w:cs="Arial"/>
          <w:b/>
          <w:sz w:val="36"/>
        </w:rPr>
        <w:t xml:space="preserve">          </w:t>
      </w:r>
      <w:bookmarkEnd w:id="13"/>
      <w:bookmarkEnd w:id="14"/>
      <w:bookmarkEnd w:id="15"/>
      <w:bookmarkEnd w:id="16"/>
      <w:bookmarkEnd w:id="17"/>
      <w:r>
        <w:rPr>
          <w:rFonts w:ascii="Arial" w:hAnsi="Arial" w:cs="Arial"/>
          <w:b/>
          <w:sz w:val="36"/>
        </w:rPr>
        <w:t xml:space="preserve"> </w:t>
      </w:r>
    </w:p>
    <w:p w14:paraId="7CA8BBB4" w14:textId="77777777" w:rsidR="00C52815" w:rsidRDefault="00C52815">
      <w:pPr>
        <w:jc w:val="center"/>
        <w:rPr>
          <w:rFonts w:ascii="Arial" w:hAnsi="Arial" w:cs="Arial"/>
          <w:bCs/>
          <w:sz w:val="32"/>
        </w:rPr>
      </w:pPr>
    </w:p>
    <w:p w14:paraId="7035D9D4" w14:textId="77777777" w:rsidR="00C52815" w:rsidRDefault="00C52815">
      <w:pPr>
        <w:jc w:val="center"/>
        <w:rPr>
          <w:rFonts w:ascii="Arial" w:hAnsi="Arial" w:cs="Arial"/>
          <w:bCs/>
          <w:sz w:val="28"/>
        </w:rPr>
      </w:pPr>
      <w:bookmarkStart w:id="18" w:name="_Toc123701386"/>
      <w:bookmarkStart w:id="19" w:name="_Toc123112266"/>
      <w:bookmarkStart w:id="20" w:name="_Toc139991729"/>
      <w:bookmarkStart w:id="21" w:name="_Toc123112227"/>
    </w:p>
    <w:p w14:paraId="0497290A" w14:textId="08539F6C" w:rsidR="00C52815" w:rsidRDefault="005C44F4">
      <w:pPr>
        <w:jc w:val="center"/>
        <w:rPr>
          <w:rFonts w:ascii="Arial" w:hAnsi="Arial" w:cs="Arial"/>
          <w:bCs/>
          <w:sz w:val="28"/>
        </w:rPr>
        <w:sectPr w:rsidR="00C52815">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r>
        <w:rPr>
          <w:rFonts w:ascii="Arial" w:hAnsi="Arial" w:cs="Arial"/>
          <w:b/>
          <w:bCs/>
          <w:sz w:val="30"/>
        </w:rPr>
        <w:t>二零二</w:t>
      </w:r>
      <w:r w:rsidR="00883D7F">
        <w:rPr>
          <w:rFonts w:ascii="Arial" w:hAnsi="Arial" w:cs="Arial" w:hint="eastAsia"/>
          <w:b/>
          <w:bCs/>
          <w:sz w:val="30"/>
        </w:rPr>
        <w:t>六</w:t>
      </w:r>
      <w:r>
        <w:rPr>
          <w:rFonts w:ascii="Arial" w:hAnsi="Arial" w:cs="Arial"/>
          <w:b/>
          <w:bCs/>
          <w:sz w:val="30"/>
        </w:rPr>
        <w:t>年</w:t>
      </w:r>
      <w:r w:rsidR="00A90CF1">
        <w:rPr>
          <w:rFonts w:ascii="Arial" w:hAnsi="Arial" w:cs="Arial" w:hint="eastAsia"/>
          <w:b/>
          <w:bCs/>
          <w:sz w:val="30"/>
        </w:rPr>
        <w:t>四</w:t>
      </w:r>
      <w:r>
        <w:rPr>
          <w:rFonts w:ascii="Arial" w:hAnsi="Arial" w:cs="Arial"/>
          <w:b/>
          <w:bCs/>
          <w:sz w:val="30"/>
        </w:rPr>
        <w:t>月</w:t>
      </w:r>
    </w:p>
    <w:p w14:paraId="360E1FD4" w14:textId="77777777" w:rsidR="00C52815" w:rsidRDefault="005C44F4">
      <w:pPr>
        <w:tabs>
          <w:tab w:val="center" w:pos="4153"/>
          <w:tab w:val="left" w:pos="7000"/>
        </w:tabs>
        <w:jc w:val="left"/>
        <w:rPr>
          <w:rFonts w:ascii="Arial" w:hAnsi="Arial" w:cs="Arial"/>
          <w:b/>
          <w:bCs/>
          <w:sz w:val="28"/>
        </w:rPr>
      </w:pPr>
      <w:r>
        <w:rPr>
          <w:rFonts w:ascii="Arial" w:hAnsi="Arial" w:cs="Arial"/>
          <w:bCs/>
          <w:sz w:val="28"/>
        </w:rPr>
        <w:lastRenderedPageBreak/>
        <w:tab/>
      </w:r>
      <w:r>
        <w:rPr>
          <w:rFonts w:ascii="Arial" w:hAnsi="Arial" w:cs="Arial" w:hint="eastAsia"/>
          <w:b/>
          <w:bCs/>
          <w:sz w:val="28"/>
        </w:rPr>
        <w:t>目</w:t>
      </w:r>
      <w:r>
        <w:rPr>
          <w:rFonts w:ascii="Arial" w:hAnsi="Arial" w:cs="Arial"/>
          <w:b/>
          <w:bCs/>
          <w:sz w:val="28"/>
        </w:rPr>
        <w:t xml:space="preserve">    </w:t>
      </w:r>
      <w:r>
        <w:rPr>
          <w:rFonts w:ascii="Arial" w:hAnsi="Arial" w:cs="Arial" w:hint="eastAsia"/>
          <w:b/>
          <w:bCs/>
          <w:sz w:val="28"/>
        </w:rPr>
        <w:t>录</w:t>
      </w:r>
      <w:bookmarkEnd w:id="18"/>
      <w:bookmarkEnd w:id="19"/>
      <w:bookmarkEnd w:id="20"/>
      <w:bookmarkEnd w:id="21"/>
      <w:r>
        <w:rPr>
          <w:rFonts w:ascii="Arial" w:hAnsi="Arial" w:cs="Arial"/>
          <w:b/>
          <w:bCs/>
          <w:sz w:val="28"/>
        </w:rPr>
        <w:tab/>
      </w:r>
    </w:p>
    <w:p w14:paraId="56E7CE86" w14:textId="2D60B80C" w:rsidR="00C52815" w:rsidRDefault="005C44F4">
      <w:pPr>
        <w:pStyle w:val="10"/>
        <w:tabs>
          <w:tab w:val="clear" w:pos="8296"/>
          <w:tab w:val="right" w:leader="dot" w:pos="8306"/>
        </w:tabs>
        <w:rPr>
          <w:noProof/>
        </w:rPr>
      </w:pPr>
      <w:r>
        <w:rPr>
          <w:rFonts w:ascii="Arial" w:hAnsi="Arial" w:cs="Arial"/>
          <w:sz w:val="24"/>
        </w:rPr>
        <w:fldChar w:fldCharType="begin"/>
      </w:r>
      <w:r>
        <w:rPr>
          <w:rFonts w:ascii="Arial" w:hAnsi="Arial" w:cs="Arial"/>
          <w:bCs/>
          <w:sz w:val="24"/>
          <w:szCs w:val="24"/>
        </w:rPr>
        <w:instrText xml:space="preserve"> TOC \o "1-1" \h \z \u </w:instrText>
      </w:r>
      <w:r>
        <w:rPr>
          <w:rFonts w:ascii="Arial" w:hAnsi="Arial" w:cs="Arial"/>
          <w:sz w:val="24"/>
        </w:rPr>
        <w:fldChar w:fldCharType="separate"/>
      </w:r>
      <w:hyperlink w:anchor="_Toc31074" w:history="1">
        <w:r>
          <w:rPr>
            <w:rFonts w:ascii="宋体" w:hAnsi="宋体" w:cs="Arial"/>
            <w:noProof/>
          </w:rPr>
          <w:t>第一部分  前言</w:t>
        </w:r>
        <w:r>
          <w:rPr>
            <w:noProof/>
          </w:rPr>
          <w:tab/>
        </w:r>
        <w:r>
          <w:rPr>
            <w:noProof/>
          </w:rPr>
          <w:fldChar w:fldCharType="begin"/>
        </w:r>
        <w:r>
          <w:rPr>
            <w:noProof/>
          </w:rPr>
          <w:instrText xml:space="preserve"> PAGEREF _Toc31074 \h </w:instrText>
        </w:r>
        <w:r>
          <w:rPr>
            <w:noProof/>
          </w:rPr>
        </w:r>
        <w:r>
          <w:rPr>
            <w:noProof/>
          </w:rPr>
          <w:fldChar w:fldCharType="separate"/>
        </w:r>
        <w:r w:rsidR="00035F6A">
          <w:rPr>
            <w:noProof/>
          </w:rPr>
          <w:t>1</w:t>
        </w:r>
        <w:r>
          <w:rPr>
            <w:noProof/>
          </w:rPr>
          <w:fldChar w:fldCharType="end"/>
        </w:r>
      </w:hyperlink>
    </w:p>
    <w:p w14:paraId="15EAC199" w14:textId="5F330302" w:rsidR="00C52815" w:rsidRDefault="00E25348">
      <w:pPr>
        <w:pStyle w:val="10"/>
        <w:tabs>
          <w:tab w:val="clear" w:pos="8296"/>
          <w:tab w:val="right" w:leader="dot" w:pos="8306"/>
        </w:tabs>
        <w:rPr>
          <w:noProof/>
        </w:rPr>
      </w:pPr>
      <w:hyperlink w:anchor="_Toc20977" w:history="1">
        <w:r w:rsidR="005C44F4">
          <w:rPr>
            <w:rFonts w:ascii="宋体" w:hAnsi="宋体" w:cs="Arial"/>
            <w:noProof/>
          </w:rPr>
          <w:t>第二部分  释义</w:t>
        </w:r>
        <w:r w:rsidR="005C44F4">
          <w:rPr>
            <w:noProof/>
          </w:rPr>
          <w:tab/>
        </w:r>
        <w:r w:rsidR="005C44F4">
          <w:rPr>
            <w:noProof/>
          </w:rPr>
          <w:fldChar w:fldCharType="begin"/>
        </w:r>
        <w:r w:rsidR="005C44F4">
          <w:rPr>
            <w:noProof/>
          </w:rPr>
          <w:instrText xml:space="preserve"> PAGEREF _Toc20977 \h </w:instrText>
        </w:r>
        <w:r w:rsidR="005C44F4">
          <w:rPr>
            <w:noProof/>
          </w:rPr>
        </w:r>
        <w:r w:rsidR="005C44F4">
          <w:rPr>
            <w:noProof/>
          </w:rPr>
          <w:fldChar w:fldCharType="separate"/>
        </w:r>
        <w:r w:rsidR="00035F6A">
          <w:rPr>
            <w:noProof/>
          </w:rPr>
          <w:t>4</w:t>
        </w:r>
        <w:r w:rsidR="005C44F4">
          <w:rPr>
            <w:noProof/>
          </w:rPr>
          <w:fldChar w:fldCharType="end"/>
        </w:r>
      </w:hyperlink>
    </w:p>
    <w:p w14:paraId="6A11D908" w14:textId="2EC05279" w:rsidR="00C52815" w:rsidRDefault="00E25348">
      <w:pPr>
        <w:pStyle w:val="10"/>
        <w:tabs>
          <w:tab w:val="clear" w:pos="8296"/>
          <w:tab w:val="right" w:leader="dot" w:pos="8306"/>
        </w:tabs>
        <w:rPr>
          <w:noProof/>
        </w:rPr>
      </w:pPr>
      <w:hyperlink w:anchor="_Toc28769" w:history="1">
        <w:r w:rsidR="005C44F4">
          <w:rPr>
            <w:rFonts w:ascii="宋体" w:hAnsi="宋体" w:cs="Arial"/>
            <w:noProof/>
          </w:rPr>
          <w:t>第三部分  基金的基本情况</w:t>
        </w:r>
        <w:r w:rsidR="005C44F4">
          <w:rPr>
            <w:noProof/>
          </w:rPr>
          <w:tab/>
        </w:r>
        <w:r w:rsidR="005C44F4">
          <w:rPr>
            <w:noProof/>
          </w:rPr>
          <w:fldChar w:fldCharType="begin"/>
        </w:r>
        <w:r w:rsidR="005C44F4">
          <w:rPr>
            <w:noProof/>
          </w:rPr>
          <w:instrText xml:space="preserve"> PAGEREF _Toc28769 \h </w:instrText>
        </w:r>
        <w:r w:rsidR="005C44F4">
          <w:rPr>
            <w:noProof/>
          </w:rPr>
        </w:r>
        <w:r w:rsidR="005C44F4">
          <w:rPr>
            <w:noProof/>
          </w:rPr>
          <w:fldChar w:fldCharType="separate"/>
        </w:r>
        <w:r w:rsidR="00035F6A">
          <w:rPr>
            <w:noProof/>
          </w:rPr>
          <w:t>10</w:t>
        </w:r>
        <w:r w:rsidR="005C44F4">
          <w:rPr>
            <w:noProof/>
          </w:rPr>
          <w:fldChar w:fldCharType="end"/>
        </w:r>
      </w:hyperlink>
    </w:p>
    <w:p w14:paraId="49BFE890" w14:textId="5F7041BD" w:rsidR="00C52815" w:rsidRDefault="00E25348">
      <w:pPr>
        <w:pStyle w:val="10"/>
        <w:tabs>
          <w:tab w:val="clear" w:pos="8296"/>
          <w:tab w:val="right" w:leader="dot" w:pos="8306"/>
        </w:tabs>
        <w:rPr>
          <w:noProof/>
        </w:rPr>
      </w:pPr>
      <w:hyperlink w:anchor="_Toc16677" w:history="1">
        <w:r w:rsidR="005C44F4">
          <w:rPr>
            <w:rFonts w:ascii="宋体" w:hAnsi="宋体" w:cs="Arial"/>
            <w:noProof/>
          </w:rPr>
          <w:t>第四部分  基金份额的发售</w:t>
        </w:r>
        <w:r w:rsidR="005C44F4">
          <w:rPr>
            <w:noProof/>
          </w:rPr>
          <w:tab/>
        </w:r>
        <w:r w:rsidR="005C44F4">
          <w:rPr>
            <w:noProof/>
          </w:rPr>
          <w:fldChar w:fldCharType="begin"/>
        </w:r>
        <w:r w:rsidR="005C44F4">
          <w:rPr>
            <w:noProof/>
          </w:rPr>
          <w:instrText xml:space="preserve"> PAGEREF _Toc16677 \h </w:instrText>
        </w:r>
        <w:r w:rsidR="005C44F4">
          <w:rPr>
            <w:noProof/>
          </w:rPr>
        </w:r>
        <w:r w:rsidR="005C44F4">
          <w:rPr>
            <w:noProof/>
          </w:rPr>
          <w:fldChar w:fldCharType="separate"/>
        </w:r>
        <w:r w:rsidR="00035F6A">
          <w:rPr>
            <w:noProof/>
          </w:rPr>
          <w:t>12</w:t>
        </w:r>
        <w:r w:rsidR="005C44F4">
          <w:rPr>
            <w:noProof/>
          </w:rPr>
          <w:fldChar w:fldCharType="end"/>
        </w:r>
      </w:hyperlink>
    </w:p>
    <w:p w14:paraId="6249C24A" w14:textId="7EB24BC7" w:rsidR="00C52815" w:rsidRDefault="00E25348">
      <w:pPr>
        <w:pStyle w:val="10"/>
        <w:tabs>
          <w:tab w:val="clear" w:pos="8296"/>
          <w:tab w:val="right" w:leader="dot" w:pos="8306"/>
        </w:tabs>
        <w:rPr>
          <w:noProof/>
        </w:rPr>
      </w:pPr>
      <w:hyperlink w:anchor="_Toc7498" w:history="1">
        <w:r w:rsidR="005C44F4">
          <w:rPr>
            <w:rFonts w:ascii="宋体" w:hAnsi="宋体" w:cs="Arial"/>
            <w:noProof/>
          </w:rPr>
          <w:t>第五部分  基金备案</w:t>
        </w:r>
        <w:r w:rsidR="005C44F4">
          <w:rPr>
            <w:noProof/>
          </w:rPr>
          <w:tab/>
        </w:r>
        <w:r w:rsidR="005C44F4">
          <w:rPr>
            <w:noProof/>
          </w:rPr>
          <w:fldChar w:fldCharType="begin"/>
        </w:r>
        <w:r w:rsidR="005C44F4">
          <w:rPr>
            <w:noProof/>
          </w:rPr>
          <w:instrText xml:space="preserve"> PAGEREF _Toc7498 \h </w:instrText>
        </w:r>
        <w:r w:rsidR="005C44F4">
          <w:rPr>
            <w:noProof/>
          </w:rPr>
        </w:r>
        <w:r w:rsidR="005C44F4">
          <w:rPr>
            <w:noProof/>
          </w:rPr>
          <w:fldChar w:fldCharType="separate"/>
        </w:r>
        <w:r w:rsidR="00035F6A">
          <w:rPr>
            <w:noProof/>
          </w:rPr>
          <w:t>14</w:t>
        </w:r>
        <w:r w:rsidR="005C44F4">
          <w:rPr>
            <w:noProof/>
          </w:rPr>
          <w:fldChar w:fldCharType="end"/>
        </w:r>
      </w:hyperlink>
    </w:p>
    <w:p w14:paraId="42AF72E4" w14:textId="23A33D31" w:rsidR="00C52815" w:rsidRDefault="00E25348">
      <w:pPr>
        <w:pStyle w:val="10"/>
        <w:tabs>
          <w:tab w:val="clear" w:pos="8296"/>
          <w:tab w:val="right" w:leader="dot" w:pos="8306"/>
        </w:tabs>
        <w:rPr>
          <w:noProof/>
        </w:rPr>
      </w:pPr>
      <w:hyperlink w:anchor="_Toc25976" w:history="1">
        <w:r w:rsidR="005C44F4">
          <w:rPr>
            <w:rFonts w:ascii="宋体" w:hAnsi="宋体" w:cs="Arial"/>
            <w:noProof/>
          </w:rPr>
          <w:t>第六部分  基金份额的上市交易</w:t>
        </w:r>
        <w:bookmarkStart w:id="22" w:name="_GoBack"/>
        <w:bookmarkEnd w:id="22"/>
        <w:r w:rsidR="005C44F4">
          <w:rPr>
            <w:noProof/>
          </w:rPr>
          <w:tab/>
        </w:r>
        <w:r w:rsidR="005C44F4">
          <w:rPr>
            <w:noProof/>
          </w:rPr>
          <w:fldChar w:fldCharType="begin"/>
        </w:r>
        <w:r w:rsidR="005C44F4">
          <w:rPr>
            <w:noProof/>
          </w:rPr>
          <w:instrText xml:space="preserve"> PAGEREF _Toc25976 \h </w:instrText>
        </w:r>
        <w:r w:rsidR="005C44F4">
          <w:rPr>
            <w:noProof/>
          </w:rPr>
        </w:r>
        <w:r w:rsidR="005C44F4">
          <w:rPr>
            <w:noProof/>
          </w:rPr>
          <w:fldChar w:fldCharType="separate"/>
        </w:r>
        <w:r w:rsidR="00035F6A">
          <w:rPr>
            <w:noProof/>
          </w:rPr>
          <w:t>16</w:t>
        </w:r>
        <w:r w:rsidR="005C44F4">
          <w:rPr>
            <w:noProof/>
          </w:rPr>
          <w:fldChar w:fldCharType="end"/>
        </w:r>
      </w:hyperlink>
    </w:p>
    <w:p w14:paraId="5FD75EC8" w14:textId="534962EB" w:rsidR="00C52815" w:rsidRDefault="00E25348">
      <w:pPr>
        <w:pStyle w:val="10"/>
        <w:tabs>
          <w:tab w:val="clear" w:pos="8296"/>
          <w:tab w:val="right" w:leader="dot" w:pos="8306"/>
        </w:tabs>
        <w:rPr>
          <w:noProof/>
        </w:rPr>
      </w:pPr>
      <w:hyperlink w:anchor="_Toc24395" w:history="1">
        <w:r w:rsidR="005C44F4">
          <w:rPr>
            <w:rFonts w:ascii="宋体" w:hAnsi="宋体" w:cs="Arial"/>
            <w:noProof/>
          </w:rPr>
          <w:t>第七部分  基金份额的申购与赎回</w:t>
        </w:r>
        <w:r w:rsidR="005C44F4">
          <w:rPr>
            <w:noProof/>
          </w:rPr>
          <w:tab/>
        </w:r>
        <w:r w:rsidR="005C44F4">
          <w:rPr>
            <w:noProof/>
          </w:rPr>
          <w:fldChar w:fldCharType="begin"/>
        </w:r>
        <w:r w:rsidR="005C44F4">
          <w:rPr>
            <w:noProof/>
          </w:rPr>
          <w:instrText xml:space="preserve"> PAGEREF _Toc24395 \h </w:instrText>
        </w:r>
        <w:r w:rsidR="005C44F4">
          <w:rPr>
            <w:noProof/>
          </w:rPr>
        </w:r>
        <w:r w:rsidR="005C44F4">
          <w:rPr>
            <w:noProof/>
          </w:rPr>
          <w:fldChar w:fldCharType="separate"/>
        </w:r>
        <w:r w:rsidR="00035F6A">
          <w:rPr>
            <w:noProof/>
          </w:rPr>
          <w:t>18</w:t>
        </w:r>
        <w:r w:rsidR="005C44F4">
          <w:rPr>
            <w:noProof/>
          </w:rPr>
          <w:fldChar w:fldCharType="end"/>
        </w:r>
      </w:hyperlink>
    </w:p>
    <w:p w14:paraId="645C0335" w14:textId="64C5E187" w:rsidR="00C52815" w:rsidRDefault="00E25348">
      <w:pPr>
        <w:pStyle w:val="10"/>
        <w:tabs>
          <w:tab w:val="clear" w:pos="8296"/>
          <w:tab w:val="right" w:leader="dot" w:pos="8306"/>
        </w:tabs>
        <w:rPr>
          <w:noProof/>
        </w:rPr>
      </w:pPr>
      <w:hyperlink w:anchor="_Toc560" w:history="1">
        <w:r w:rsidR="005C44F4">
          <w:rPr>
            <w:rFonts w:ascii="宋体" w:hAnsi="宋体" w:cs="Arial"/>
            <w:noProof/>
          </w:rPr>
          <w:t>第八部分  基金合同当事人及权利义务</w:t>
        </w:r>
        <w:r w:rsidR="005C44F4">
          <w:rPr>
            <w:noProof/>
          </w:rPr>
          <w:tab/>
        </w:r>
        <w:r w:rsidR="005C44F4">
          <w:rPr>
            <w:noProof/>
          </w:rPr>
          <w:fldChar w:fldCharType="begin"/>
        </w:r>
        <w:r w:rsidR="005C44F4">
          <w:rPr>
            <w:noProof/>
          </w:rPr>
          <w:instrText xml:space="preserve"> PAGEREF _Toc560 \h </w:instrText>
        </w:r>
        <w:r w:rsidR="005C44F4">
          <w:rPr>
            <w:noProof/>
          </w:rPr>
        </w:r>
        <w:r w:rsidR="005C44F4">
          <w:rPr>
            <w:noProof/>
          </w:rPr>
          <w:fldChar w:fldCharType="separate"/>
        </w:r>
        <w:r w:rsidR="00035F6A">
          <w:rPr>
            <w:noProof/>
          </w:rPr>
          <w:t>26</w:t>
        </w:r>
        <w:r w:rsidR="005C44F4">
          <w:rPr>
            <w:noProof/>
          </w:rPr>
          <w:fldChar w:fldCharType="end"/>
        </w:r>
      </w:hyperlink>
    </w:p>
    <w:p w14:paraId="38F3FF51" w14:textId="3D147A89" w:rsidR="00C52815" w:rsidRDefault="00E25348">
      <w:pPr>
        <w:pStyle w:val="10"/>
        <w:tabs>
          <w:tab w:val="clear" w:pos="8296"/>
          <w:tab w:val="right" w:leader="dot" w:pos="8306"/>
        </w:tabs>
        <w:rPr>
          <w:noProof/>
        </w:rPr>
      </w:pPr>
      <w:hyperlink w:anchor="_Toc4630" w:history="1">
        <w:r w:rsidR="005C44F4">
          <w:rPr>
            <w:rFonts w:ascii="宋体" w:hAnsi="宋体" w:cs="Arial"/>
            <w:noProof/>
          </w:rPr>
          <w:t>第九部分  基金份额持有人大会</w:t>
        </w:r>
        <w:r w:rsidR="005C44F4">
          <w:rPr>
            <w:noProof/>
          </w:rPr>
          <w:tab/>
        </w:r>
        <w:r w:rsidR="005C44F4">
          <w:rPr>
            <w:noProof/>
          </w:rPr>
          <w:fldChar w:fldCharType="begin"/>
        </w:r>
        <w:r w:rsidR="005C44F4">
          <w:rPr>
            <w:noProof/>
          </w:rPr>
          <w:instrText xml:space="preserve"> PAGEREF _Toc4630 \h </w:instrText>
        </w:r>
        <w:r w:rsidR="005C44F4">
          <w:rPr>
            <w:noProof/>
          </w:rPr>
        </w:r>
        <w:r w:rsidR="005C44F4">
          <w:rPr>
            <w:noProof/>
          </w:rPr>
          <w:fldChar w:fldCharType="separate"/>
        </w:r>
        <w:r w:rsidR="00035F6A">
          <w:rPr>
            <w:noProof/>
          </w:rPr>
          <w:t>34</w:t>
        </w:r>
        <w:r w:rsidR="005C44F4">
          <w:rPr>
            <w:noProof/>
          </w:rPr>
          <w:fldChar w:fldCharType="end"/>
        </w:r>
      </w:hyperlink>
    </w:p>
    <w:p w14:paraId="039691F5" w14:textId="369D8B1E" w:rsidR="00C52815" w:rsidRDefault="00E25348">
      <w:pPr>
        <w:pStyle w:val="10"/>
        <w:tabs>
          <w:tab w:val="clear" w:pos="8296"/>
          <w:tab w:val="right" w:leader="dot" w:pos="8306"/>
        </w:tabs>
        <w:rPr>
          <w:noProof/>
        </w:rPr>
      </w:pPr>
      <w:hyperlink w:anchor="_Toc15256" w:history="1">
        <w:r w:rsidR="005C44F4">
          <w:rPr>
            <w:rFonts w:ascii="宋体" w:hAnsi="宋体" w:cs="Arial"/>
            <w:noProof/>
          </w:rPr>
          <w:t>第十部分  基金管理人、基金托管人的更换条件和程序</w:t>
        </w:r>
        <w:r w:rsidR="005C44F4">
          <w:rPr>
            <w:noProof/>
          </w:rPr>
          <w:tab/>
        </w:r>
        <w:r w:rsidR="005C44F4">
          <w:rPr>
            <w:noProof/>
          </w:rPr>
          <w:fldChar w:fldCharType="begin"/>
        </w:r>
        <w:r w:rsidR="005C44F4">
          <w:rPr>
            <w:noProof/>
          </w:rPr>
          <w:instrText xml:space="preserve"> PAGEREF _Toc15256 \h </w:instrText>
        </w:r>
        <w:r w:rsidR="005C44F4">
          <w:rPr>
            <w:noProof/>
          </w:rPr>
        </w:r>
        <w:r w:rsidR="005C44F4">
          <w:rPr>
            <w:noProof/>
          </w:rPr>
          <w:fldChar w:fldCharType="separate"/>
        </w:r>
        <w:r w:rsidR="00035F6A">
          <w:rPr>
            <w:noProof/>
          </w:rPr>
          <w:t>42</w:t>
        </w:r>
        <w:r w:rsidR="005C44F4">
          <w:rPr>
            <w:noProof/>
          </w:rPr>
          <w:fldChar w:fldCharType="end"/>
        </w:r>
      </w:hyperlink>
    </w:p>
    <w:p w14:paraId="426A1B14" w14:textId="3567CBF6" w:rsidR="00C52815" w:rsidRDefault="00E25348">
      <w:pPr>
        <w:pStyle w:val="10"/>
        <w:tabs>
          <w:tab w:val="clear" w:pos="8296"/>
          <w:tab w:val="right" w:leader="dot" w:pos="8306"/>
        </w:tabs>
        <w:rPr>
          <w:noProof/>
        </w:rPr>
      </w:pPr>
      <w:hyperlink w:anchor="_Toc10916" w:history="1">
        <w:r w:rsidR="005C44F4">
          <w:rPr>
            <w:rFonts w:ascii="宋体" w:hAnsi="宋体" w:cs="Arial"/>
            <w:noProof/>
          </w:rPr>
          <w:t>第十一部分  基金的托管</w:t>
        </w:r>
        <w:r w:rsidR="005C44F4">
          <w:rPr>
            <w:noProof/>
          </w:rPr>
          <w:tab/>
        </w:r>
        <w:r w:rsidR="005C44F4">
          <w:rPr>
            <w:noProof/>
          </w:rPr>
          <w:fldChar w:fldCharType="begin"/>
        </w:r>
        <w:r w:rsidR="005C44F4">
          <w:rPr>
            <w:noProof/>
          </w:rPr>
          <w:instrText xml:space="preserve"> PAGEREF _Toc10916 \h </w:instrText>
        </w:r>
        <w:r w:rsidR="005C44F4">
          <w:rPr>
            <w:noProof/>
          </w:rPr>
        </w:r>
        <w:r w:rsidR="005C44F4">
          <w:rPr>
            <w:noProof/>
          </w:rPr>
          <w:fldChar w:fldCharType="separate"/>
        </w:r>
        <w:r w:rsidR="00035F6A">
          <w:rPr>
            <w:noProof/>
          </w:rPr>
          <w:t>45</w:t>
        </w:r>
        <w:r w:rsidR="005C44F4">
          <w:rPr>
            <w:noProof/>
          </w:rPr>
          <w:fldChar w:fldCharType="end"/>
        </w:r>
      </w:hyperlink>
    </w:p>
    <w:p w14:paraId="7B9D9525" w14:textId="74EE55F3" w:rsidR="00C52815" w:rsidRDefault="00E25348">
      <w:pPr>
        <w:pStyle w:val="10"/>
        <w:tabs>
          <w:tab w:val="clear" w:pos="8296"/>
          <w:tab w:val="right" w:leader="dot" w:pos="8306"/>
        </w:tabs>
        <w:rPr>
          <w:noProof/>
        </w:rPr>
      </w:pPr>
      <w:hyperlink w:anchor="_Toc30005" w:history="1">
        <w:r w:rsidR="005C44F4">
          <w:rPr>
            <w:rFonts w:ascii="宋体" w:hAnsi="宋体" w:cs="Arial"/>
            <w:noProof/>
          </w:rPr>
          <w:t>第十二部分  基金份额的登记结算</w:t>
        </w:r>
        <w:r w:rsidR="005C44F4">
          <w:rPr>
            <w:noProof/>
          </w:rPr>
          <w:tab/>
        </w:r>
        <w:r w:rsidR="005C44F4">
          <w:rPr>
            <w:noProof/>
          </w:rPr>
          <w:fldChar w:fldCharType="begin"/>
        </w:r>
        <w:r w:rsidR="005C44F4">
          <w:rPr>
            <w:noProof/>
          </w:rPr>
          <w:instrText xml:space="preserve"> PAGEREF _Toc30005 \h </w:instrText>
        </w:r>
        <w:r w:rsidR="005C44F4">
          <w:rPr>
            <w:noProof/>
          </w:rPr>
        </w:r>
        <w:r w:rsidR="005C44F4">
          <w:rPr>
            <w:noProof/>
          </w:rPr>
          <w:fldChar w:fldCharType="separate"/>
        </w:r>
        <w:r w:rsidR="00035F6A">
          <w:rPr>
            <w:noProof/>
          </w:rPr>
          <w:t>46</w:t>
        </w:r>
        <w:r w:rsidR="005C44F4">
          <w:rPr>
            <w:noProof/>
          </w:rPr>
          <w:fldChar w:fldCharType="end"/>
        </w:r>
      </w:hyperlink>
    </w:p>
    <w:p w14:paraId="676FA633" w14:textId="4D82448D" w:rsidR="00C52815" w:rsidRDefault="00E25348">
      <w:pPr>
        <w:pStyle w:val="10"/>
        <w:tabs>
          <w:tab w:val="clear" w:pos="8296"/>
          <w:tab w:val="right" w:leader="dot" w:pos="8306"/>
        </w:tabs>
        <w:rPr>
          <w:noProof/>
        </w:rPr>
      </w:pPr>
      <w:hyperlink w:anchor="_Toc32532" w:history="1">
        <w:r w:rsidR="005C44F4">
          <w:rPr>
            <w:rFonts w:ascii="宋体" w:hAnsi="宋体" w:cs="Arial"/>
            <w:noProof/>
          </w:rPr>
          <w:t>第十三部分  基金的投资</w:t>
        </w:r>
        <w:r w:rsidR="005C44F4">
          <w:rPr>
            <w:noProof/>
          </w:rPr>
          <w:tab/>
        </w:r>
        <w:r w:rsidR="005C44F4">
          <w:rPr>
            <w:noProof/>
          </w:rPr>
          <w:fldChar w:fldCharType="begin"/>
        </w:r>
        <w:r w:rsidR="005C44F4">
          <w:rPr>
            <w:noProof/>
          </w:rPr>
          <w:instrText xml:space="preserve"> PAGEREF _Toc32532 \h </w:instrText>
        </w:r>
        <w:r w:rsidR="005C44F4">
          <w:rPr>
            <w:noProof/>
          </w:rPr>
        </w:r>
        <w:r w:rsidR="005C44F4">
          <w:rPr>
            <w:noProof/>
          </w:rPr>
          <w:fldChar w:fldCharType="separate"/>
        </w:r>
        <w:r w:rsidR="00035F6A">
          <w:rPr>
            <w:noProof/>
          </w:rPr>
          <w:t>48</w:t>
        </w:r>
        <w:r w:rsidR="005C44F4">
          <w:rPr>
            <w:noProof/>
          </w:rPr>
          <w:fldChar w:fldCharType="end"/>
        </w:r>
      </w:hyperlink>
    </w:p>
    <w:p w14:paraId="4147D2CF" w14:textId="69FCE7A2" w:rsidR="00C52815" w:rsidRDefault="00E25348">
      <w:pPr>
        <w:pStyle w:val="10"/>
        <w:tabs>
          <w:tab w:val="clear" w:pos="8296"/>
          <w:tab w:val="right" w:leader="dot" w:pos="8306"/>
        </w:tabs>
        <w:rPr>
          <w:noProof/>
        </w:rPr>
      </w:pPr>
      <w:hyperlink w:anchor="_Toc21168" w:history="1">
        <w:r w:rsidR="005C44F4">
          <w:rPr>
            <w:rFonts w:ascii="宋体" w:hAnsi="宋体" w:cs="Arial"/>
            <w:noProof/>
          </w:rPr>
          <w:t>第十四部分  基金的财产</w:t>
        </w:r>
        <w:r w:rsidR="005C44F4">
          <w:rPr>
            <w:noProof/>
          </w:rPr>
          <w:tab/>
        </w:r>
        <w:r w:rsidR="005C44F4">
          <w:rPr>
            <w:noProof/>
          </w:rPr>
          <w:fldChar w:fldCharType="begin"/>
        </w:r>
        <w:r w:rsidR="005C44F4">
          <w:rPr>
            <w:noProof/>
          </w:rPr>
          <w:instrText xml:space="preserve"> PAGEREF _Toc21168 \h </w:instrText>
        </w:r>
        <w:r w:rsidR="005C44F4">
          <w:rPr>
            <w:noProof/>
          </w:rPr>
        </w:r>
        <w:r w:rsidR="005C44F4">
          <w:rPr>
            <w:noProof/>
          </w:rPr>
          <w:fldChar w:fldCharType="separate"/>
        </w:r>
        <w:r w:rsidR="00035F6A">
          <w:rPr>
            <w:noProof/>
          </w:rPr>
          <w:t>57</w:t>
        </w:r>
        <w:r w:rsidR="005C44F4">
          <w:rPr>
            <w:noProof/>
          </w:rPr>
          <w:fldChar w:fldCharType="end"/>
        </w:r>
      </w:hyperlink>
    </w:p>
    <w:p w14:paraId="7B6F38B2" w14:textId="39E02EC0" w:rsidR="00C52815" w:rsidRDefault="00E25348">
      <w:pPr>
        <w:pStyle w:val="10"/>
        <w:tabs>
          <w:tab w:val="clear" w:pos="8296"/>
          <w:tab w:val="right" w:leader="dot" w:pos="8306"/>
        </w:tabs>
        <w:rPr>
          <w:noProof/>
        </w:rPr>
      </w:pPr>
      <w:hyperlink w:anchor="_Toc14948" w:history="1">
        <w:r w:rsidR="005C44F4">
          <w:rPr>
            <w:rFonts w:ascii="宋体" w:hAnsi="宋体" w:cs="Arial"/>
            <w:noProof/>
          </w:rPr>
          <w:t>第十五部分  基金资产估值</w:t>
        </w:r>
        <w:r w:rsidR="005C44F4">
          <w:rPr>
            <w:noProof/>
          </w:rPr>
          <w:tab/>
        </w:r>
        <w:r w:rsidR="005C44F4">
          <w:rPr>
            <w:noProof/>
          </w:rPr>
          <w:fldChar w:fldCharType="begin"/>
        </w:r>
        <w:r w:rsidR="005C44F4">
          <w:rPr>
            <w:noProof/>
          </w:rPr>
          <w:instrText xml:space="preserve"> PAGEREF _Toc14948 \h </w:instrText>
        </w:r>
        <w:r w:rsidR="005C44F4">
          <w:rPr>
            <w:noProof/>
          </w:rPr>
        </w:r>
        <w:r w:rsidR="005C44F4">
          <w:rPr>
            <w:noProof/>
          </w:rPr>
          <w:fldChar w:fldCharType="separate"/>
        </w:r>
        <w:r w:rsidR="00035F6A">
          <w:rPr>
            <w:noProof/>
          </w:rPr>
          <w:t>58</w:t>
        </w:r>
        <w:r w:rsidR="005C44F4">
          <w:rPr>
            <w:noProof/>
          </w:rPr>
          <w:fldChar w:fldCharType="end"/>
        </w:r>
      </w:hyperlink>
    </w:p>
    <w:p w14:paraId="74DEFB46" w14:textId="0CA7A8D7" w:rsidR="00C52815" w:rsidRDefault="00E25348">
      <w:pPr>
        <w:pStyle w:val="10"/>
        <w:tabs>
          <w:tab w:val="clear" w:pos="8296"/>
          <w:tab w:val="right" w:leader="dot" w:pos="8306"/>
        </w:tabs>
        <w:rPr>
          <w:noProof/>
        </w:rPr>
      </w:pPr>
      <w:hyperlink w:anchor="_Toc31008" w:history="1">
        <w:r w:rsidR="005C44F4">
          <w:rPr>
            <w:rFonts w:ascii="宋体" w:hAnsi="宋体" w:cs="Arial"/>
            <w:noProof/>
          </w:rPr>
          <w:t>第十六部分  基金费用与税收</w:t>
        </w:r>
        <w:r w:rsidR="005C44F4">
          <w:rPr>
            <w:noProof/>
          </w:rPr>
          <w:tab/>
        </w:r>
        <w:r w:rsidR="005C44F4">
          <w:rPr>
            <w:noProof/>
          </w:rPr>
          <w:fldChar w:fldCharType="begin"/>
        </w:r>
        <w:r w:rsidR="005C44F4">
          <w:rPr>
            <w:noProof/>
          </w:rPr>
          <w:instrText xml:space="preserve"> PAGEREF _Toc31008 \h </w:instrText>
        </w:r>
        <w:r w:rsidR="005C44F4">
          <w:rPr>
            <w:noProof/>
          </w:rPr>
        </w:r>
        <w:r w:rsidR="005C44F4">
          <w:rPr>
            <w:noProof/>
          </w:rPr>
          <w:fldChar w:fldCharType="separate"/>
        </w:r>
        <w:r w:rsidR="00035F6A">
          <w:rPr>
            <w:noProof/>
          </w:rPr>
          <w:t>65</w:t>
        </w:r>
        <w:r w:rsidR="005C44F4">
          <w:rPr>
            <w:noProof/>
          </w:rPr>
          <w:fldChar w:fldCharType="end"/>
        </w:r>
      </w:hyperlink>
    </w:p>
    <w:p w14:paraId="295A9AF3" w14:textId="31EA05BC" w:rsidR="00C52815" w:rsidRDefault="00E25348">
      <w:pPr>
        <w:pStyle w:val="10"/>
        <w:tabs>
          <w:tab w:val="clear" w:pos="8296"/>
          <w:tab w:val="right" w:leader="dot" w:pos="8306"/>
        </w:tabs>
        <w:rPr>
          <w:noProof/>
        </w:rPr>
      </w:pPr>
      <w:hyperlink w:anchor="_Toc17176" w:history="1">
        <w:r w:rsidR="005C44F4">
          <w:rPr>
            <w:rFonts w:ascii="宋体" w:hAnsi="宋体" w:cs="Arial"/>
            <w:noProof/>
          </w:rPr>
          <w:t>第十七部分  基金的收益与分配</w:t>
        </w:r>
        <w:r w:rsidR="005C44F4">
          <w:rPr>
            <w:noProof/>
          </w:rPr>
          <w:tab/>
        </w:r>
        <w:r w:rsidR="005C44F4">
          <w:rPr>
            <w:noProof/>
          </w:rPr>
          <w:fldChar w:fldCharType="begin"/>
        </w:r>
        <w:r w:rsidR="005C44F4">
          <w:rPr>
            <w:noProof/>
          </w:rPr>
          <w:instrText xml:space="preserve"> PAGEREF _Toc17176 \h </w:instrText>
        </w:r>
        <w:r w:rsidR="005C44F4">
          <w:rPr>
            <w:noProof/>
          </w:rPr>
        </w:r>
        <w:r w:rsidR="005C44F4">
          <w:rPr>
            <w:noProof/>
          </w:rPr>
          <w:fldChar w:fldCharType="separate"/>
        </w:r>
        <w:r w:rsidR="00035F6A">
          <w:rPr>
            <w:noProof/>
          </w:rPr>
          <w:t>67</w:t>
        </w:r>
        <w:r w:rsidR="005C44F4">
          <w:rPr>
            <w:noProof/>
          </w:rPr>
          <w:fldChar w:fldCharType="end"/>
        </w:r>
      </w:hyperlink>
    </w:p>
    <w:p w14:paraId="13F7331F" w14:textId="575610C2" w:rsidR="00C52815" w:rsidRDefault="00E25348">
      <w:pPr>
        <w:pStyle w:val="10"/>
        <w:tabs>
          <w:tab w:val="clear" w:pos="8296"/>
          <w:tab w:val="right" w:leader="dot" w:pos="8306"/>
        </w:tabs>
        <w:rPr>
          <w:noProof/>
        </w:rPr>
      </w:pPr>
      <w:hyperlink w:anchor="_Toc23446" w:history="1">
        <w:r w:rsidR="005C44F4">
          <w:rPr>
            <w:rFonts w:ascii="宋体" w:hAnsi="宋体" w:cs="Arial"/>
            <w:noProof/>
          </w:rPr>
          <w:t>第十八部分  基金的会计与审计</w:t>
        </w:r>
        <w:r w:rsidR="005C44F4">
          <w:rPr>
            <w:noProof/>
          </w:rPr>
          <w:tab/>
        </w:r>
        <w:r w:rsidR="005C44F4">
          <w:rPr>
            <w:noProof/>
          </w:rPr>
          <w:fldChar w:fldCharType="begin"/>
        </w:r>
        <w:r w:rsidR="005C44F4">
          <w:rPr>
            <w:noProof/>
          </w:rPr>
          <w:instrText xml:space="preserve"> PAGEREF _Toc23446 \h </w:instrText>
        </w:r>
        <w:r w:rsidR="005C44F4">
          <w:rPr>
            <w:noProof/>
          </w:rPr>
        </w:r>
        <w:r w:rsidR="005C44F4">
          <w:rPr>
            <w:noProof/>
          </w:rPr>
          <w:fldChar w:fldCharType="separate"/>
        </w:r>
        <w:r w:rsidR="00035F6A">
          <w:rPr>
            <w:noProof/>
          </w:rPr>
          <w:t>68</w:t>
        </w:r>
        <w:r w:rsidR="005C44F4">
          <w:rPr>
            <w:noProof/>
          </w:rPr>
          <w:fldChar w:fldCharType="end"/>
        </w:r>
      </w:hyperlink>
    </w:p>
    <w:p w14:paraId="0D70F3BF" w14:textId="78A65BE3" w:rsidR="00C52815" w:rsidRDefault="00E25348">
      <w:pPr>
        <w:pStyle w:val="10"/>
        <w:tabs>
          <w:tab w:val="clear" w:pos="8296"/>
          <w:tab w:val="right" w:leader="dot" w:pos="8306"/>
        </w:tabs>
        <w:rPr>
          <w:noProof/>
        </w:rPr>
      </w:pPr>
      <w:hyperlink w:anchor="_Toc21526" w:history="1">
        <w:r w:rsidR="005C44F4">
          <w:rPr>
            <w:rFonts w:ascii="宋体" w:hAnsi="宋体" w:cs="Arial"/>
            <w:noProof/>
          </w:rPr>
          <w:t>第十九部分  基金的信息披露</w:t>
        </w:r>
        <w:r w:rsidR="005C44F4">
          <w:rPr>
            <w:noProof/>
          </w:rPr>
          <w:tab/>
        </w:r>
        <w:r w:rsidR="005C44F4">
          <w:rPr>
            <w:noProof/>
          </w:rPr>
          <w:fldChar w:fldCharType="begin"/>
        </w:r>
        <w:r w:rsidR="005C44F4">
          <w:rPr>
            <w:noProof/>
          </w:rPr>
          <w:instrText xml:space="preserve"> PAGEREF _Toc21526 \h </w:instrText>
        </w:r>
        <w:r w:rsidR="005C44F4">
          <w:rPr>
            <w:noProof/>
          </w:rPr>
        </w:r>
        <w:r w:rsidR="005C44F4">
          <w:rPr>
            <w:noProof/>
          </w:rPr>
          <w:fldChar w:fldCharType="separate"/>
        </w:r>
        <w:r w:rsidR="00035F6A">
          <w:rPr>
            <w:noProof/>
          </w:rPr>
          <w:t>69</w:t>
        </w:r>
        <w:r w:rsidR="005C44F4">
          <w:rPr>
            <w:noProof/>
          </w:rPr>
          <w:fldChar w:fldCharType="end"/>
        </w:r>
      </w:hyperlink>
    </w:p>
    <w:p w14:paraId="4143A4CD" w14:textId="7A6D8810" w:rsidR="00C52815" w:rsidRDefault="00E25348">
      <w:pPr>
        <w:pStyle w:val="10"/>
        <w:tabs>
          <w:tab w:val="clear" w:pos="8296"/>
          <w:tab w:val="right" w:leader="dot" w:pos="8306"/>
        </w:tabs>
        <w:rPr>
          <w:noProof/>
        </w:rPr>
      </w:pPr>
      <w:hyperlink w:anchor="_Toc29980" w:history="1">
        <w:r w:rsidR="005C44F4">
          <w:rPr>
            <w:rFonts w:ascii="宋体" w:hAnsi="宋体" w:cs="Arial"/>
            <w:noProof/>
          </w:rPr>
          <w:t>第二十部分  基金合同的变更、终止与基金财产的清算</w:t>
        </w:r>
        <w:r w:rsidR="005C44F4">
          <w:rPr>
            <w:noProof/>
          </w:rPr>
          <w:tab/>
        </w:r>
        <w:r w:rsidR="005C44F4">
          <w:rPr>
            <w:noProof/>
          </w:rPr>
          <w:fldChar w:fldCharType="begin"/>
        </w:r>
        <w:r w:rsidR="005C44F4">
          <w:rPr>
            <w:noProof/>
          </w:rPr>
          <w:instrText xml:space="preserve"> PAGEREF _Toc29980 \h </w:instrText>
        </w:r>
        <w:r w:rsidR="005C44F4">
          <w:rPr>
            <w:noProof/>
          </w:rPr>
        </w:r>
        <w:r w:rsidR="005C44F4">
          <w:rPr>
            <w:noProof/>
          </w:rPr>
          <w:fldChar w:fldCharType="separate"/>
        </w:r>
        <w:r w:rsidR="00035F6A">
          <w:rPr>
            <w:noProof/>
          </w:rPr>
          <w:t>77</w:t>
        </w:r>
        <w:r w:rsidR="005C44F4">
          <w:rPr>
            <w:noProof/>
          </w:rPr>
          <w:fldChar w:fldCharType="end"/>
        </w:r>
      </w:hyperlink>
    </w:p>
    <w:p w14:paraId="5B163213" w14:textId="7B2E242B" w:rsidR="00C52815" w:rsidRDefault="00E25348">
      <w:pPr>
        <w:pStyle w:val="10"/>
        <w:tabs>
          <w:tab w:val="clear" w:pos="8296"/>
          <w:tab w:val="right" w:leader="dot" w:pos="8306"/>
        </w:tabs>
        <w:rPr>
          <w:noProof/>
        </w:rPr>
      </w:pPr>
      <w:hyperlink w:anchor="_Toc16684" w:history="1">
        <w:r w:rsidR="005C44F4">
          <w:rPr>
            <w:rFonts w:ascii="宋体" w:hAnsi="宋体" w:cs="Arial"/>
            <w:noProof/>
          </w:rPr>
          <w:t>第二十一部分  违约责任</w:t>
        </w:r>
        <w:r w:rsidR="005C44F4">
          <w:rPr>
            <w:noProof/>
          </w:rPr>
          <w:tab/>
        </w:r>
        <w:r w:rsidR="005C44F4">
          <w:rPr>
            <w:noProof/>
          </w:rPr>
          <w:fldChar w:fldCharType="begin"/>
        </w:r>
        <w:r w:rsidR="005C44F4">
          <w:rPr>
            <w:noProof/>
          </w:rPr>
          <w:instrText xml:space="preserve"> PAGEREF _Toc16684 \h </w:instrText>
        </w:r>
        <w:r w:rsidR="005C44F4">
          <w:rPr>
            <w:noProof/>
          </w:rPr>
        </w:r>
        <w:r w:rsidR="005C44F4">
          <w:rPr>
            <w:noProof/>
          </w:rPr>
          <w:fldChar w:fldCharType="separate"/>
        </w:r>
        <w:r w:rsidR="00035F6A">
          <w:rPr>
            <w:noProof/>
          </w:rPr>
          <w:t>79</w:t>
        </w:r>
        <w:r w:rsidR="005C44F4">
          <w:rPr>
            <w:noProof/>
          </w:rPr>
          <w:fldChar w:fldCharType="end"/>
        </w:r>
      </w:hyperlink>
    </w:p>
    <w:p w14:paraId="7D8BE86D" w14:textId="06CCACCB" w:rsidR="00C52815" w:rsidRDefault="00E25348">
      <w:pPr>
        <w:pStyle w:val="10"/>
        <w:tabs>
          <w:tab w:val="clear" w:pos="8296"/>
          <w:tab w:val="right" w:leader="dot" w:pos="8306"/>
        </w:tabs>
        <w:rPr>
          <w:noProof/>
        </w:rPr>
      </w:pPr>
      <w:hyperlink w:anchor="_Toc9087" w:history="1">
        <w:r w:rsidR="005C44F4">
          <w:rPr>
            <w:rFonts w:ascii="宋体" w:hAnsi="宋体" w:cs="Arial"/>
            <w:noProof/>
          </w:rPr>
          <w:t>第二十二部分  争议的处理和适用的法律</w:t>
        </w:r>
        <w:r w:rsidR="005C44F4">
          <w:rPr>
            <w:noProof/>
          </w:rPr>
          <w:tab/>
        </w:r>
        <w:r w:rsidR="005C44F4">
          <w:rPr>
            <w:noProof/>
          </w:rPr>
          <w:fldChar w:fldCharType="begin"/>
        </w:r>
        <w:r w:rsidR="005C44F4">
          <w:rPr>
            <w:noProof/>
          </w:rPr>
          <w:instrText xml:space="preserve"> PAGEREF _Toc9087 \h </w:instrText>
        </w:r>
        <w:r w:rsidR="005C44F4">
          <w:rPr>
            <w:noProof/>
          </w:rPr>
        </w:r>
        <w:r w:rsidR="005C44F4">
          <w:rPr>
            <w:noProof/>
          </w:rPr>
          <w:fldChar w:fldCharType="separate"/>
        </w:r>
        <w:r w:rsidR="00035F6A">
          <w:rPr>
            <w:noProof/>
          </w:rPr>
          <w:t>80</w:t>
        </w:r>
        <w:r w:rsidR="005C44F4">
          <w:rPr>
            <w:noProof/>
          </w:rPr>
          <w:fldChar w:fldCharType="end"/>
        </w:r>
      </w:hyperlink>
    </w:p>
    <w:p w14:paraId="7B60A284" w14:textId="2573786A" w:rsidR="00C52815" w:rsidRDefault="00E25348">
      <w:pPr>
        <w:pStyle w:val="10"/>
        <w:tabs>
          <w:tab w:val="clear" w:pos="8296"/>
          <w:tab w:val="right" w:leader="dot" w:pos="8306"/>
        </w:tabs>
        <w:rPr>
          <w:noProof/>
        </w:rPr>
      </w:pPr>
      <w:hyperlink w:anchor="_Toc27950" w:history="1">
        <w:r w:rsidR="005C44F4">
          <w:rPr>
            <w:rFonts w:ascii="宋体" w:hAnsi="宋体" w:cs="Arial"/>
            <w:noProof/>
          </w:rPr>
          <w:t>第二十三部分  基金合同的效力</w:t>
        </w:r>
        <w:r w:rsidR="005C44F4">
          <w:rPr>
            <w:noProof/>
          </w:rPr>
          <w:tab/>
        </w:r>
        <w:r w:rsidR="005C44F4">
          <w:rPr>
            <w:noProof/>
          </w:rPr>
          <w:fldChar w:fldCharType="begin"/>
        </w:r>
        <w:r w:rsidR="005C44F4">
          <w:rPr>
            <w:noProof/>
          </w:rPr>
          <w:instrText xml:space="preserve"> PAGEREF _Toc27950 \h </w:instrText>
        </w:r>
        <w:r w:rsidR="005C44F4">
          <w:rPr>
            <w:noProof/>
          </w:rPr>
        </w:r>
        <w:r w:rsidR="005C44F4">
          <w:rPr>
            <w:noProof/>
          </w:rPr>
          <w:fldChar w:fldCharType="separate"/>
        </w:r>
        <w:r w:rsidR="00035F6A">
          <w:rPr>
            <w:noProof/>
          </w:rPr>
          <w:t>81</w:t>
        </w:r>
        <w:r w:rsidR="005C44F4">
          <w:rPr>
            <w:noProof/>
          </w:rPr>
          <w:fldChar w:fldCharType="end"/>
        </w:r>
      </w:hyperlink>
    </w:p>
    <w:p w14:paraId="4547AB26" w14:textId="55F5C779" w:rsidR="00C52815" w:rsidRDefault="00E25348">
      <w:pPr>
        <w:pStyle w:val="10"/>
        <w:tabs>
          <w:tab w:val="clear" w:pos="8296"/>
          <w:tab w:val="right" w:leader="dot" w:pos="8306"/>
        </w:tabs>
        <w:rPr>
          <w:noProof/>
        </w:rPr>
      </w:pPr>
      <w:hyperlink w:anchor="_Toc12702" w:history="1">
        <w:r w:rsidR="005C44F4">
          <w:rPr>
            <w:rFonts w:ascii="宋体" w:hAnsi="宋体" w:cs="Arial"/>
            <w:noProof/>
          </w:rPr>
          <w:t>第二十四部分  其他事项</w:t>
        </w:r>
        <w:r w:rsidR="005C44F4">
          <w:rPr>
            <w:noProof/>
          </w:rPr>
          <w:tab/>
        </w:r>
        <w:r w:rsidR="005C44F4">
          <w:rPr>
            <w:noProof/>
          </w:rPr>
          <w:fldChar w:fldCharType="begin"/>
        </w:r>
        <w:r w:rsidR="005C44F4">
          <w:rPr>
            <w:noProof/>
          </w:rPr>
          <w:instrText xml:space="preserve"> PAGEREF _Toc12702 \h </w:instrText>
        </w:r>
        <w:r w:rsidR="005C44F4">
          <w:rPr>
            <w:noProof/>
          </w:rPr>
        </w:r>
        <w:r w:rsidR="005C44F4">
          <w:rPr>
            <w:noProof/>
          </w:rPr>
          <w:fldChar w:fldCharType="separate"/>
        </w:r>
        <w:r w:rsidR="00035F6A">
          <w:rPr>
            <w:noProof/>
          </w:rPr>
          <w:t>82</w:t>
        </w:r>
        <w:r w:rsidR="005C44F4">
          <w:rPr>
            <w:noProof/>
          </w:rPr>
          <w:fldChar w:fldCharType="end"/>
        </w:r>
      </w:hyperlink>
    </w:p>
    <w:p w14:paraId="697D9AC2" w14:textId="6EBC3CAD" w:rsidR="00C52815" w:rsidRDefault="00E25348">
      <w:pPr>
        <w:pStyle w:val="10"/>
        <w:tabs>
          <w:tab w:val="clear" w:pos="8296"/>
          <w:tab w:val="right" w:leader="dot" w:pos="8306"/>
        </w:tabs>
        <w:rPr>
          <w:noProof/>
        </w:rPr>
      </w:pPr>
      <w:hyperlink w:anchor="_Toc25988" w:history="1">
        <w:r w:rsidR="005C44F4">
          <w:rPr>
            <w:rFonts w:ascii="宋体" w:hAnsi="宋体" w:cs="Arial"/>
            <w:noProof/>
          </w:rPr>
          <w:t>第二十五部分  基金合同内容摘要</w:t>
        </w:r>
        <w:r w:rsidR="005C44F4">
          <w:rPr>
            <w:noProof/>
          </w:rPr>
          <w:tab/>
        </w:r>
        <w:r w:rsidR="005C44F4">
          <w:rPr>
            <w:noProof/>
          </w:rPr>
          <w:fldChar w:fldCharType="begin"/>
        </w:r>
        <w:r w:rsidR="005C44F4">
          <w:rPr>
            <w:noProof/>
          </w:rPr>
          <w:instrText xml:space="preserve"> PAGEREF _Toc25988 \h </w:instrText>
        </w:r>
        <w:r w:rsidR="005C44F4">
          <w:rPr>
            <w:noProof/>
          </w:rPr>
        </w:r>
        <w:r w:rsidR="005C44F4">
          <w:rPr>
            <w:noProof/>
          </w:rPr>
          <w:fldChar w:fldCharType="separate"/>
        </w:r>
        <w:r w:rsidR="00035F6A">
          <w:rPr>
            <w:noProof/>
          </w:rPr>
          <w:t>83</w:t>
        </w:r>
        <w:r w:rsidR="005C44F4">
          <w:rPr>
            <w:noProof/>
          </w:rPr>
          <w:fldChar w:fldCharType="end"/>
        </w:r>
      </w:hyperlink>
    </w:p>
    <w:p w14:paraId="3C7AB398" w14:textId="77777777" w:rsidR="00C52815" w:rsidRDefault="005C44F4">
      <w:pPr>
        <w:pStyle w:val="1"/>
        <w:spacing w:before="0" w:after="0"/>
        <w:jc w:val="left"/>
        <w:rPr>
          <w:rFonts w:ascii="Arial" w:hAnsi="Arial" w:cs="Arial"/>
          <w:b w:val="0"/>
          <w:color w:val="auto"/>
          <w:kern w:val="2"/>
        </w:rPr>
        <w:sectPr w:rsidR="00C52815">
          <w:headerReference w:type="default" r:id="rId11"/>
          <w:footerReference w:type="default" r:id="rId12"/>
          <w:pgSz w:w="11906" w:h="16838"/>
          <w:pgMar w:top="1440" w:right="1800" w:bottom="1440" w:left="1800" w:header="851" w:footer="992" w:gutter="0"/>
          <w:pgNumType w:start="1"/>
          <w:cols w:space="720"/>
          <w:docGrid w:type="lines" w:linePitch="312"/>
        </w:sectPr>
      </w:pPr>
      <w:r>
        <w:rPr>
          <w:rFonts w:ascii="Arial" w:hAnsi="Arial" w:cs="Arial"/>
          <w:b w:val="0"/>
          <w:color w:val="auto"/>
          <w:kern w:val="2"/>
        </w:rPr>
        <w:fldChar w:fldCharType="end"/>
      </w:r>
      <w:bookmarkStart w:id="23" w:name="_Toc141703880"/>
      <w:bookmarkStart w:id="24" w:name="_Toc30935"/>
      <w:bookmarkStart w:id="25" w:name="_Toc123112229"/>
      <w:bookmarkStart w:id="26" w:name="_Toc139991730"/>
      <w:bookmarkStart w:id="27" w:name="_Toc123701389"/>
      <w:bookmarkStart w:id="28" w:name="_Toc29629"/>
      <w:bookmarkStart w:id="29" w:name="_Toc4867"/>
      <w:bookmarkStart w:id="30" w:name="_Toc15517"/>
      <w:bookmarkStart w:id="31" w:name="_Toc4966"/>
      <w:bookmarkStart w:id="32" w:name="_Toc32639"/>
      <w:bookmarkStart w:id="33" w:name="_Toc6306"/>
      <w:bookmarkStart w:id="34" w:name="_Toc23386"/>
      <w:bookmarkStart w:id="35" w:name="_Toc8727"/>
      <w:bookmarkStart w:id="36" w:name="_Toc123112268"/>
      <w:bookmarkStart w:id="37" w:name="_Toc26897"/>
      <w:bookmarkStart w:id="38" w:name="_Toc23345627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4A48A1C3" w14:textId="77777777" w:rsidR="00C52815" w:rsidRDefault="005C44F4">
      <w:pPr>
        <w:pStyle w:val="1"/>
        <w:spacing w:before="0" w:after="0"/>
        <w:jc w:val="center"/>
        <w:rPr>
          <w:rFonts w:hAnsi="宋体" w:cs="Arial"/>
          <w:color w:val="auto"/>
          <w:sz w:val="30"/>
        </w:rPr>
      </w:pPr>
      <w:bookmarkStart w:id="39" w:name="_Toc30627"/>
      <w:bookmarkStart w:id="40" w:name="_Toc23893"/>
      <w:bookmarkStart w:id="41" w:name="_Toc114406667"/>
      <w:bookmarkStart w:id="42" w:name="_Toc31074"/>
      <w:bookmarkStart w:id="43" w:name="_Toc21301"/>
      <w:bookmarkStart w:id="44" w:name="_Toc19592"/>
      <w:bookmarkStart w:id="45" w:name="_Toc3224"/>
      <w:bookmarkStart w:id="46" w:name="_Toc258829399"/>
      <w:bookmarkStart w:id="47" w:name="_Toc13020"/>
      <w:bookmarkStart w:id="48" w:name="_Toc31551"/>
      <w:bookmarkStart w:id="49" w:name="_Toc24860"/>
      <w:bookmarkStart w:id="50" w:name="_Toc6617"/>
      <w:bookmarkStart w:id="51" w:name="_Toc22864"/>
      <w:bookmarkStart w:id="52" w:name="_Toc2465"/>
      <w:bookmarkStart w:id="53" w:name="_Toc819"/>
      <w:bookmarkStart w:id="54" w:name="_Toc15067"/>
      <w:r>
        <w:rPr>
          <w:rFonts w:hAnsi="宋体" w:cs="Arial"/>
          <w:color w:val="auto"/>
          <w:sz w:val="30"/>
        </w:rPr>
        <w:lastRenderedPageBreak/>
        <w:t>第一部分  前言</w:t>
      </w:r>
      <w:bookmarkEnd w:id="39"/>
      <w:bookmarkEnd w:id="40"/>
      <w:bookmarkEnd w:id="41"/>
      <w:bookmarkEnd w:id="42"/>
    </w:p>
    <w:p w14:paraId="5F72A3FC" w14:textId="77777777" w:rsidR="00C52815" w:rsidRDefault="00C52815">
      <w:pPr>
        <w:spacing w:line="360" w:lineRule="auto"/>
        <w:ind w:firstLineChars="200" w:firstLine="480"/>
        <w:rPr>
          <w:rFonts w:ascii="宋体" w:hAnsi="宋体" w:cs="Arial"/>
          <w:bCs/>
          <w:sz w:val="24"/>
        </w:rPr>
      </w:pPr>
    </w:p>
    <w:p w14:paraId="4C09D4D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一、订立本基金合同的目的、依据和原则</w:t>
      </w:r>
    </w:p>
    <w:p w14:paraId="3036EAD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1、订立本基金合同的目的是保护投资人合法权益，明确基金合同当事人的权利义务，规范基金运作。</w:t>
      </w:r>
    </w:p>
    <w:p w14:paraId="45DCE0F3" w14:textId="21F34981" w:rsidR="00C52815" w:rsidRDefault="005C44F4">
      <w:pPr>
        <w:spacing w:line="360" w:lineRule="auto"/>
        <w:ind w:firstLineChars="200" w:firstLine="480"/>
        <w:rPr>
          <w:rFonts w:ascii="宋体" w:hAnsi="宋体" w:cs="Arial"/>
          <w:bCs/>
          <w:sz w:val="24"/>
        </w:rPr>
      </w:pPr>
      <w:r>
        <w:rPr>
          <w:rFonts w:ascii="宋体" w:hAnsi="宋体" w:cs="Arial"/>
          <w:bCs/>
          <w:sz w:val="24"/>
        </w:rPr>
        <w:t>2、订立本基金合同的依据是《中华人民共和国民法典》(以下简称“《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运作指引第3号——指数基金指引》</w:t>
      </w:r>
      <w:r w:rsidR="00DE62A6">
        <w:rPr>
          <w:rFonts w:ascii="宋体" w:hAnsi="宋体" w:cs="Arial"/>
          <w:bCs/>
          <w:sz w:val="24"/>
        </w:rPr>
        <w:t>（以下简称“《指数基金指引》”）</w:t>
      </w:r>
      <w:r>
        <w:rPr>
          <w:rFonts w:ascii="宋体" w:hAnsi="宋体" w:cs="Arial"/>
          <w:bCs/>
          <w:sz w:val="24"/>
        </w:rPr>
        <w:t>和其他有关法律法规。</w:t>
      </w:r>
    </w:p>
    <w:p w14:paraId="45AE9AC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3、订立本基金合同的原则是平等自愿、诚实信用、充分保护投资人合法权益。</w:t>
      </w:r>
    </w:p>
    <w:p w14:paraId="567394B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B1DDA19" w14:textId="77777777" w:rsidR="00C52815" w:rsidRDefault="005C44F4">
      <w:pPr>
        <w:spacing w:line="360" w:lineRule="auto"/>
        <w:ind w:firstLineChars="200" w:firstLine="480"/>
        <w:rPr>
          <w:rFonts w:ascii="宋体" w:hAnsi="宋体" w:cs="Arial"/>
          <w:bCs/>
        </w:rPr>
      </w:pPr>
      <w:r>
        <w:rPr>
          <w:rFonts w:ascii="宋体" w:hAnsi="宋体" w:cs="Arial"/>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3344B6D7" w14:textId="25EB536E" w:rsidR="00C52815" w:rsidRDefault="005C44F4">
      <w:pPr>
        <w:spacing w:line="360" w:lineRule="auto"/>
        <w:ind w:firstLineChars="200" w:firstLine="480"/>
        <w:rPr>
          <w:rFonts w:ascii="宋体" w:hAnsi="宋体" w:cs="Arial"/>
          <w:bCs/>
          <w:sz w:val="24"/>
        </w:rPr>
      </w:pPr>
      <w:r>
        <w:rPr>
          <w:rFonts w:ascii="宋体" w:hAnsi="宋体" w:cs="Arial"/>
          <w:bCs/>
          <w:sz w:val="24"/>
        </w:rPr>
        <w:t>三、</w:t>
      </w:r>
      <w:r w:rsidR="0060068F">
        <w:rPr>
          <w:rFonts w:ascii="宋体" w:hAnsi="宋体" w:cs="Arial"/>
          <w:bCs/>
          <w:sz w:val="24"/>
        </w:rPr>
        <w:t>嘉实</w:t>
      </w:r>
      <w:proofErr w:type="gramStart"/>
      <w:r w:rsidR="0060068F">
        <w:rPr>
          <w:rFonts w:ascii="宋体" w:hAnsi="宋体" w:cs="Arial"/>
          <w:bCs/>
          <w:sz w:val="24"/>
        </w:rPr>
        <w:t>中证沪港</w:t>
      </w:r>
      <w:proofErr w:type="gramEnd"/>
      <w:r w:rsidR="0060068F">
        <w:rPr>
          <w:rFonts w:ascii="宋体" w:hAnsi="宋体" w:cs="Arial"/>
          <w:bCs/>
          <w:sz w:val="24"/>
        </w:rPr>
        <w:t>深</w:t>
      </w:r>
      <w:proofErr w:type="gramStart"/>
      <w:r w:rsidR="0060068F">
        <w:rPr>
          <w:rFonts w:ascii="宋体" w:hAnsi="宋体" w:cs="Arial"/>
          <w:bCs/>
          <w:sz w:val="24"/>
        </w:rPr>
        <w:t>云计算</w:t>
      </w:r>
      <w:proofErr w:type="gramEnd"/>
      <w:r w:rsidR="0060068F">
        <w:rPr>
          <w:rFonts w:ascii="宋体" w:hAnsi="宋体" w:cs="Arial"/>
          <w:bCs/>
          <w:sz w:val="24"/>
        </w:rPr>
        <w:t>产业</w:t>
      </w:r>
      <w:r>
        <w:rPr>
          <w:rFonts w:ascii="宋体" w:hAnsi="宋体" w:cs="Arial"/>
          <w:bCs/>
          <w:sz w:val="24"/>
        </w:rPr>
        <w:t>交易型开放式指数证券投资基金由基金管理人依照《基金法》、基金合同及其他有关规定募集，并经中国证券监督管理委员会(以下简称“中国证监会”)注册。</w:t>
      </w:r>
    </w:p>
    <w:p w14:paraId="6E27341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中国证监会对本基金募集的注册，并不表明其对本基金的投资价值和市场前景做出实质性判断或保证，也不表明投资于本基金没有风险。</w:t>
      </w:r>
    </w:p>
    <w:p w14:paraId="7105417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基金管理人依照恪尽职守、诚实信用、谨慎勤勉的原则管理和运用基金财产，但不保证投资于本基金一定盈利，也不保证最低收益或投资本金不受损失。</w:t>
      </w:r>
    </w:p>
    <w:p w14:paraId="71AD9BF1" w14:textId="77777777" w:rsidR="00C52815" w:rsidRDefault="005C44F4">
      <w:pPr>
        <w:spacing w:line="360" w:lineRule="auto"/>
        <w:ind w:firstLineChars="200" w:firstLine="480"/>
        <w:rPr>
          <w:rFonts w:ascii="宋体" w:hAnsi="宋体" w:cs="Arial"/>
          <w:bCs/>
          <w:sz w:val="24"/>
        </w:rPr>
      </w:pPr>
      <w:r>
        <w:rPr>
          <w:rFonts w:ascii="宋体" w:hAnsi="宋体" w:cs="Arial"/>
          <w:sz w:val="24"/>
        </w:rPr>
        <w:lastRenderedPageBreak/>
        <w:t>投资者应当认真阅读基金招募说明书、基金合同、基金产品资料概要、相关公告等信息披露文件，自主判断基金的投资价值，自主做出投资决策，自行承担投资风险。</w:t>
      </w:r>
    </w:p>
    <w:p w14:paraId="2C44566D" w14:textId="77777777" w:rsidR="00C52815" w:rsidRDefault="005C44F4">
      <w:pPr>
        <w:numPr>
          <w:ilvl w:val="0"/>
          <w:numId w:val="2"/>
        </w:numPr>
        <w:spacing w:line="360" w:lineRule="auto"/>
        <w:ind w:firstLineChars="200" w:firstLine="480"/>
        <w:rPr>
          <w:rFonts w:ascii="宋体" w:hAnsi="宋体" w:cs="Arial"/>
          <w:bCs/>
          <w:sz w:val="24"/>
        </w:rPr>
      </w:pPr>
      <w:r>
        <w:rPr>
          <w:rFonts w:ascii="宋体" w:hAnsi="宋体" w:cs="Arial"/>
          <w:bCs/>
          <w:sz w:val="24"/>
        </w:rPr>
        <w:t>基金管理人、基金托管人在本基金合同之外披露涉及本基金的信息，其内容涉及界定基金合同当事人之间权利义务关系的，如与基金合同有冲突，以基金合同为准。</w:t>
      </w:r>
    </w:p>
    <w:p w14:paraId="54B46066" w14:textId="77777777" w:rsidR="00C52815" w:rsidRDefault="005C44F4">
      <w:pPr>
        <w:numPr>
          <w:ilvl w:val="0"/>
          <w:numId w:val="2"/>
        </w:numPr>
        <w:spacing w:line="360" w:lineRule="auto"/>
        <w:ind w:firstLineChars="200" w:firstLine="480"/>
        <w:rPr>
          <w:rFonts w:ascii="宋体" w:hAnsi="宋体" w:cs="Arial"/>
          <w:bCs/>
          <w:sz w:val="24"/>
        </w:rPr>
      </w:pPr>
      <w:r>
        <w:rPr>
          <w:rFonts w:ascii="宋体" w:hAnsi="宋体" w:cs="Arial"/>
          <w:bCs/>
          <w:sz w:val="24"/>
        </w:rPr>
        <w:t>本基金按照中国法律法规成立并运作，</w:t>
      </w:r>
      <w:proofErr w:type="gramStart"/>
      <w:r>
        <w:rPr>
          <w:rFonts w:ascii="宋体" w:hAnsi="宋体" w:cs="Arial"/>
          <w:bCs/>
          <w:sz w:val="24"/>
        </w:rPr>
        <w:t>若基金</w:t>
      </w:r>
      <w:proofErr w:type="gramEnd"/>
      <w:r>
        <w:rPr>
          <w:rFonts w:ascii="宋体" w:hAnsi="宋体" w:cs="Arial"/>
          <w:bCs/>
          <w:sz w:val="24"/>
        </w:rPr>
        <w:t>合同的内容与届时有效的法律法规的强制性规定不一致，应当以届时有效的法律法规的规定为准。</w:t>
      </w:r>
    </w:p>
    <w:p w14:paraId="26E309DD" w14:textId="77777777" w:rsidR="00C52815" w:rsidRDefault="005C44F4">
      <w:pPr>
        <w:numPr>
          <w:ilvl w:val="0"/>
          <w:numId w:val="2"/>
        </w:numPr>
        <w:spacing w:line="360" w:lineRule="auto"/>
        <w:ind w:firstLine="480"/>
        <w:rPr>
          <w:rFonts w:ascii="宋体" w:hAnsi="宋体" w:cs="Arial"/>
          <w:bCs/>
          <w:sz w:val="24"/>
        </w:rPr>
      </w:pPr>
      <w:r>
        <w:rPr>
          <w:rFonts w:ascii="宋体" w:hAnsi="宋体" w:cs="Arial" w:hint="eastAsia"/>
          <w:bCs/>
          <w:sz w:val="24"/>
        </w:rPr>
        <w:t>本基金投资相关股票市场交易互联互通机制允许买卖的规定范围内的香港联合交易所上市的股票（以下简称“港股通标的股票”）的，会面临港股</w:t>
      </w:r>
      <w:proofErr w:type="gramStart"/>
      <w:r>
        <w:rPr>
          <w:rFonts w:ascii="宋体" w:hAnsi="宋体" w:cs="Arial" w:hint="eastAsia"/>
          <w:bCs/>
          <w:sz w:val="24"/>
        </w:rPr>
        <w:t>通机制</w:t>
      </w:r>
      <w:proofErr w:type="gramEnd"/>
      <w:r>
        <w:rPr>
          <w:rFonts w:ascii="宋体" w:hAnsi="宋体" w:cs="Arial" w:hint="eastAsia"/>
          <w:bCs/>
          <w:sz w:val="24"/>
        </w:rPr>
        <w:t>下因投资环境、投资标的、市场制度以及交易规则等差异带来的特有风险，包括港股市场股价波动较大的风险（港股市</w:t>
      </w:r>
      <w:proofErr w:type="gramStart"/>
      <w:r>
        <w:rPr>
          <w:rFonts w:ascii="宋体" w:hAnsi="宋体" w:cs="Arial" w:hint="eastAsia"/>
          <w:bCs/>
          <w:sz w:val="24"/>
        </w:rPr>
        <w:t>场实行</w:t>
      </w:r>
      <w:proofErr w:type="gramEnd"/>
      <w:r>
        <w:rPr>
          <w:rFonts w:ascii="宋体" w:hAnsi="宋体" w:cs="Arial" w:hint="eastAsia"/>
          <w:bCs/>
          <w:sz w:val="24"/>
        </w:rPr>
        <w:t>T+0回转交易，且对个股不设涨跌幅限制，港股可能表现出比A股更为剧烈的股价波动）、汇率风险（汇率波动可能对基金的投资收益造成损失）、港股</w:t>
      </w:r>
      <w:proofErr w:type="gramStart"/>
      <w:r>
        <w:rPr>
          <w:rFonts w:ascii="宋体" w:hAnsi="宋体" w:cs="Arial" w:hint="eastAsia"/>
          <w:bCs/>
          <w:sz w:val="24"/>
        </w:rPr>
        <w:t>通机制</w:t>
      </w:r>
      <w:proofErr w:type="gramEnd"/>
      <w:r>
        <w:rPr>
          <w:rFonts w:ascii="宋体" w:hAnsi="宋体" w:cs="Arial" w:hint="eastAsia"/>
          <w:bCs/>
          <w:sz w:val="24"/>
        </w:rPr>
        <w:t>下交易日不连贯可能带来的风险（在内地开市香港休市的情形下，港股</w:t>
      </w:r>
      <w:proofErr w:type="gramStart"/>
      <w:r>
        <w:rPr>
          <w:rFonts w:ascii="宋体" w:hAnsi="宋体" w:cs="Arial" w:hint="eastAsia"/>
          <w:bCs/>
          <w:sz w:val="24"/>
        </w:rPr>
        <w:t>通不能</w:t>
      </w:r>
      <w:proofErr w:type="gramEnd"/>
      <w:r>
        <w:rPr>
          <w:rFonts w:ascii="宋体" w:hAnsi="宋体" w:cs="Arial" w:hint="eastAsia"/>
          <w:bCs/>
          <w:sz w:val="24"/>
        </w:rPr>
        <w:t>正常交易，港股不能及时卖出，可能带来一定的流动性风险）等。</w:t>
      </w:r>
    </w:p>
    <w:p w14:paraId="6EFE30D5" w14:textId="77777777" w:rsidR="00C52815" w:rsidRDefault="005C44F4">
      <w:pPr>
        <w:numPr>
          <w:ilvl w:val="0"/>
          <w:numId w:val="2"/>
        </w:numPr>
        <w:spacing w:line="360" w:lineRule="auto"/>
        <w:ind w:firstLine="480"/>
        <w:rPr>
          <w:rFonts w:ascii="宋体" w:hAnsi="宋体" w:cs="Arial"/>
          <w:bCs/>
          <w:sz w:val="24"/>
        </w:rPr>
      </w:pPr>
      <w:r>
        <w:rPr>
          <w:rFonts w:ascii="宋体" w:hAnsi="宋体" w:cs="Arial" w:hint="eastAsia"/>
          <w:bCs/>
          <w:sz w:val="24"/>
        </w:rPr>
        <w:t>本基金的投资范围包括存托凭证，如投资存托凭证的，除与其他仅投资于境内市场股票的基金所面临的共同风险外，本基金还将面临存托凭证价格大幅波动甚至出现较大亏损的风险，以及与存托凭证发行机制相关的风险。</w:t>
      </w:r>
    </w:p>
    <w:p w14:paraId="28A45B82" w14:textId="77777777" w:rsidR="00C52815" w:rsidRDefault="005C44F4">
      <w:pPr>
        <w:numPr>
          <w:ilvl w:val="0"/>
          <w:numId w:val="2"/>
        </w:numPr>
        <w:spacing w:line="360" w:lineRule="auto"/>
        <w:ind w:firstLine="480"/>
        <w:rPr>
          <w:rFonts w:ascii="宋体" w:hAnsi="宋体" w:cs="Arial"/>
          <w:bCs/>
          <w:sz w:val="24"/>
        </w:rPr>
      </w:pPr>
      <w:r>
        <w:rPr>
          <w:rFonts w:ascii="宋体" w:hAnsi="宋体" w:cs="Arial" w:hint="eastAsia"/>
          <w:bCs/>
          <w:sz w:val="24"/>
        </w:rPr>
        <w:t>本基金投资范围包含国债期货、股指期货、股票期权等金融衍生品、资产支持证券等品种，并可根据相关法律法规和基金合同的约定参与融资业务和转融通证券出借业务，可能给本基金带来额外风险。</w:t>
      </w:r>
    </w:p>
    <w:p w14:paraId="44575514" w14:textId="77777777" w:rsidR="00C52815" w:rsidRDefault="005C44F4">
      <w:pPr>
        <w:numPr>
          <w:ilvl w:val="0"/>
          <w:numId w:val="2"/>
        </w:numPr>
        <w:spacing w:line="360" w:lineRule="auto"/>
        <w:ind w:firstLineChars="200" w:firstLine="480"/>
        <w:rPr>
          <w:rFonts w:ascii="宋体" w:hAnsi="宋体" w:cs="Arial"/>
          <w:bCs/>
          <w:sz w:val="24"/>
        </w:rPr>
      </w:pPr>
      <w:r>
        <w:rPr>
          <w:rFonts w:ascii="宋体" w:hAnsi="宋体" w:cs="Arial"/>
          <w:bCs/>
          <w:sz w:val="24"/>
        </w:rPr>
        <w:t>本基金为指数基金，投资者投资于本基金可能面临跟踪误差控制未达约定目标、指数编制机构停止服务、成份股停牌等潜在风险，详见本基金招募说明书。</w:t>
      </w:r>
    </w:p>
    <w:p w14:paraId="6567CBB6" w14:textId="77777777" w:rsidR="00C52815" w:rsidRDefault="005C44F4">
      <w:pPr>
        <w:numPr>
          <w:ilvl w:val="0"/>
          <w:numId w:val="2"/>
        </w:numPr>
        <w:wordWrap w:val="0"/>
        <w:spacing w:line="360" w:lineRule="auto"/>
        <w:ind w:firstLine="482"/>
        <w:rPr>
          <w:rFonts w:ascii="宋体" w:hAnsi="宋体" w:cs="Arial"/>
          <w:bCs/>
          <w:sz w:val="24"/>
        </w:rPr>
      </w:pPr>
      <w:r>
        <w:rPr>
          <w:rFonts w:ascii="宋体" w:hAnsi="宋体" w:cs="Arial"/>
          <w:bCs/>
          <w:sz w:val="24"/>
        </w:rPr>
        <w:t>基金管理人深知个人信息对投资者的重要性，致力于投资者个人信息的保护。基金管理人承诺按照法律法规和相关监管要求的规定处理投资者的个人信息，包括通过基金管理人直销、销售机构或场内经纪机构购买嘉</w:t>
      </w:r>
      <w:proofErr w:type="gramStart"/>
      <w:r>
        <w:rPr>
          <w:rFonts w:ascii="宋体" w:hAnsi="宋体" w:cs="Arial"/>
          <w:bCs/>
          <w:sz w:val="24"/>
        </w:rPr>
        <w:t>实基金</w:t>
      </w:r>
      <w:proofErr w:type="gramEnd"/>
      <w:r>
        <w:rPr>
          <w:rFonts w:ascii="宋体" w:hAnsi="宋体" w:cs="Arial"/>
          <w:bCs/>
          <w:sz w:val="24"/>
        </w:rPr>
        <w:t>管理有限公司旗下基金产品的所有个人投资者。基金管理人需处理的机构投资者</w:t>
      </w:r>
      <w:r>
        <w:rPr>
          <w:rFonts w:ascii="宋体" w:hAnsi="宋体" w:cs="Arial"/>
          <w:bCs/>
          <w:sz w:val="24"/>
        </w:rPr>
        <w:lastRenderedPageBreak/>
        <w:t>信息中可能涉及其法定代表人、受益所有人、经办人等个人信息，也将遵守上述承诺进行处理。详情请关注嘉</w:t>
      </w:r>
      <w:proofErr w:type="gramStart"/>
      <w:r>
        <w:rPr>
          <w:rFonts w:ascii="宋体" w:hAnsi="宋体" w:cs="Arial"/>
          <w:bCs/>
          <w:sz w:val="24"/>
        </w:rPr>
        <w:t>实基金官</w:t>
      </w:r>
      <w:proofErr w:type="gramEnd"/>
      <w:r>
        <w:rPr>
          <w:rFonts w:ascii="宋体" w:hAnsi="宋体" w:cs="Arial"/>
          <w:bCs/>
          <w:sz w:val="24"/>
        </w:rPr>
        <w:t>网（http://www.jsfund.cn/main/include/privacy/index.shtml）披露的“嘉实基金隐私政策”及其后续</w:t>
      </w:r>
      <w:proofErr w:type="gramStart"/>
      <w:r>
        <w:rPr>
          <w:rFonts w:ascii="宋体" w:hAnsi="宋体" w:cs="Arial"/>
          <w:bCs/>
          <w:sz w:val="24"/>
        </w:rPr>
        <w:t>作出</w:t>
      </w:r>
      <w:proofErr w:type="gramEnd"/>
      <w:r>
        <w:rPr>
          <w:rFonts w:ascii="宋体" w:hAnsi="宋体" w:cs="Arial"/>
          <w:bCs/>
          <w:sz w:val="24"/>
        </w:rPr>
        <w:t>的不时修订。</w:t>
      </w:r>
    </w:p>
    <w:p w14:paraId="59FEF116" w14:textId="77777777" w:rsidR="00C52815" w:rsidRDefault="005C44F4">
      <w:pPr>
        <w:pStyle w:val="1"/>
        <w:spacing w:before="0" w:after="0"/>
        <w:jc w:val="center"/>
        <w:rPr>
          <w:rFonts w:hAnsi="宋体" w:cs="Arial"/>
          <w:color w:val="auto"/>
          <w:sz w:val="30"/>
        </w:rPr>
      </w:pPr>
      <w:r>
        <w:rPr>
          <w:rFonts w:hAnsi="宋体" w:cs="Arial"/>
          <w:b w:val="0"/>
          <w:bCs/>
          <w:color w:val="auto"/>
          <w:kern w:val="44"/>
          <w:sz w:val="21"/>
        </w:rPr>
        <w:br w:type="page"/>
      </w:r>
      <w:bookmarkStart w:id="55" w:name="_Toc26795"/>
      <w:bookmarkStart w:id="56" w:name="_Toc114406668"/>
      <w:bookmarkStart w:id="57" w:name="_Toc17239"/>
      <w:bookmarkStart w:id="58" w:name="_Toc20977"/>
      <w:r>
        <w:rPr>
          <w:rFonts w:hAnsi="宋体" w:cs="Arial"/>
          <w:color w:val="auto"/>
          <w:sz w:val="30"/>
        </w:rPr>
        <w:lastRenderedPageBreak/>
        <w:t>第二部分  释义</w:t>
      </w:r>
      <w:bookmarkEnd w:id="38"/>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473CF62" w14:textId="77777777" w:rsidR="00C52815" w:rsidRDefault="00C52815">
      <w:pPr>
        <w:autoSpaceDE w:val="0"/>
        <w:autoSpaceDN w:val="0"/>
        <w:adjustRightInd w:val="0"/>
        <w:spacing w:line="360" w:lineRule="auto"/>
        <w:ind w:firstLineChars="200" w:firstLine="420"/>
        <w:rPr>
          <w:rFonts w:ascii="宋体" w:hAnsi="宋体" w:cs="Arial"/>
          <w:bCs/>
        </w:rPr>
      </w:pPr>
    </w:p>
    <w:p w14:paraId="09E795C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在本基金合同中，除非文意另有所指，下列词语或简称具有如下含义：</w:t>
      </w:r>
    </w:p>
    <w:p w14:paraId="1469CF75" w14:textId="61103A39"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基金或本基金：</w:t>
      </w:r>
      <w:proofErr w:type="gramStart"/>
      <w:r>
        <w:rPr>
          <w:rFonts w:ascii="宋体" w:hAnsi="宋体" w:cs="Arial"/>
          <w:bCs/>
          <w:sz w:val="24"/>
        </w:rPr>
        <w:t>指</w:t>
      </w:r>
      <w:r w:rsidR="0060068F">
        <w:rPr>
          <w:rFonts w:ascii="宋体" w:hAnsi="宋体" w:cs="Arial"/>
          <w:bCs/>
          <w:sz w:val="24"/>
        </w:rPr>
        <w:t>嘉实中证沪港</w:t>
      </w:r>
      <w:proofErr w:type="gramEnd"/>
      <w:r w:rsidR="0060068F">
        <w:rPr>
          <w:rFonts w:ascii="宋体" w:hAnsi="宋体" w:cs="Arial"/>
          <w:bCs/>
          <w:sz w:val="24"/>
        </w:rPr>
        <w:t>深</w:t>
      </w:r>
      <w:proofErr w:type="gramStart"/>
      <w:r w:rsidR="0060068F">
        <w:rPr>
          <w:rFonts w:ascii="宋体" w:hAnsi="宋体" w:cs="Arial"/>
          <w:bCs/>
          <w:sz w:val="24"/>
        </w:rPr>
        <w:t>云计算</w:t>
      </w:r>
      <w:proofErr w:type="gramEnd"/>
      <w:r w:rsidR="0060068F">
        <w:rPr>
          <w:rFonts w:ascii="宋体" w:hAnsi="宋体" w:cs="Arial"/>
          <w:bCs/>
          <w:sz w:val="24"/>
        </w:rPr>
        <w:t>产业</w:t>
      </w:r>
      <w:r>
        <w:rPr>
          <w:rFonts w:ascii="宋体" w:hAnsi="宋体" w:cs="Arial"/>
          <w:bCs/>
          <w:sz w:val="24"/>
        </w:rPr>
        <w:t>交易型开放式指数证券投资基金</w:t>
      </w:r>
    </w:p>
    <w:p w14:paraId="3A487F04"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基金管理人：</w:t>
      </w:r>
      <w:proofErr w:type="gramStart"/>
      <w:r>
        <w:rPr>
          <w:rFonts w:ascii="宋体" w:hAnsi="宋体" w:cs="Arial"/>
          <w:bCs/>
          <w:sz w:val="24"/>
        </w:rPr>
        <w:t>指嘉实基金</w:t>
      </w:r>
      <w:proofErr w:type="gramEnd"/>
      <w:r>
        <w:rPr>
          <w:rFonts w:ascii="宋体" w:hAnsi="宋体" w:cs="Arial"/>
          <w:bCs/>
          <w:sz w:val="24"/>
        </w:rPr>
        <w:t>管理有限公司</w:t>
      </w:r>
    </w:p>
    <w:p w14:paraId="0A3D892F" w14:textId="4696945E"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基金托管人：指</w:t>
      </w:r>
      <w:r w:rsidR="0060068F">
        <w:rPr>
          <w:rFonts w:ascii="宋体" w:hAnsi="宋体" w:cs="Arial" w:hint="eastAsia"/>
          <w:bCs/>
          <w:sz w:val="24"/>
        </w:rPr>
        <w:t>中国建设银行</w:t>
      </w:r>
      <w:r>
        <w:rPr>
          <w:rFonts w:ascii="宋体" w:hAnsi="宋体" w:cs="Arial"/>
          <w:bCs/>
          <w:sz w:val="24"/>
        </w:rPr>
        <w:t>股份有限公司</w:t>
      </w:r>
    </w:p>
    <w:p w14:paraId="75C4838C" w14:textId="19C6B710"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基金合同或本基金合同：指《</w:t>
      </w:r>
      <w:r w:rsidR="0060068F">
        <w:rPr>
          <w:rFonts w:ascii="宋体" w:hAnsi="宋体" w:cs="Arial"/>
          <w:bCs/>
          <w:sz w:val="24"/>
        </w:rPr>
        <w:t>嘉实中证沪港深云计算产业</w:t>
      </w:r>
      <w:r>
        <w:rPr>
          <w:rFonts w:ascii="宋体" w:hAnsi="宋体" w:cs="Arial"/>
          <w:bCs/>
          <w:sz w:val="24"/>
        </w:rPr>
        <w:t>交易型开放式指数证券投资基金基金合同》及对本基金合同的任何有效修订和补充</w:t>
      </w:r>
    </w:p>
    <w:p w14:paraId="0EF789E6" w14:textId="77699D4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托管协议：指基金管理人与基金托管人就本基金签订之《</w:t>
      </w:r>
      <w:r w:rsidR="0060068F">
        <w:rPr>
          <w:rFonts w:ascii="宋体" w:hAnsi="宋体" w:cs="Arial"/>
          <w:bCs/>
          <w:sz w:val="24"/>
        </w:rPr>
        <w:t>嘉实中证沪港深云计算产业</w:t>
      </w:r>
      <w:r>
        <w:rPr>
          <w:rFonts w:ascii="宋体" w:hAnsi="宋体" w:cs="Arial"/>
          <w:bCs/>
          <w:sz w:val="24"/>
        </w:rPr>
        <w:t>交易型开放式指数证券投资基金托管协议》及对该托管协议的任何有效修订和补充</w:t>
      </w:r>
    </w:p>
    <w:p w14:paraId="4971EFBB" w14:textId="29C39D0A"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招募说明书：指《</w:t>
      </w:r>
      <w:r w:rsidR="0060068F">
        <w:rPr>
          <w:rFonts w:ascii="宋体" w:hAnsi="宋体" w:cs="Arial"/>
          <w:bCs/>
          <w:sz w:val="24"/>
        </w:rPr>
        <w:t>嘉实中证沪港深云计算产业</w:t>
      </w:r>
      <w:r>
        <w:rPr>
          <w:rFonts w:ascii="宋体" w:hAnsi="宋体" w:cs="Arial"/>
          <w:bCs/>
          <w:sz w:val="24"/>
        </w:rPr>
        <w:t>交易型开放式指数证券投资基金招募说明书》及其更新</w:t>
      </w:r>
    </w:p>
    <w:p w14:paraId="3306B519" w14:textId="506C4001"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基金份额发售公告：指《</w:t>
      </w:r>
      <w:r w:rsidR="0060068F">
        <w:rPr>
          <w:rFonts w:ascii="宋体" w:hAnsi="宋体" w:cs="Arial"/>
          <w:bCs/>
          <w:sz w:val="24"/>
        </w:rPr>
        <w:t>嘉实中证沪港深云计算产业</w:t>
      </w:r>
      <w:r>
        <w:rPr>
          <w:rFonts w:ascii="宋体" w:hAnsi="宋体" w:cs="Arial"/>
          <w:bCs/>
          <w:sz w:val="24"/>
        </w:rPr>
        <w:t>交易型开放式指数证券投资基金基金份额发售公告》</w:t>
      </w:r>
    </w:p>
    <w:p w14:paraId="235E4398" w14:textId="63E0491E"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基金份额上市交易公告书：指《</w:t>
      </w:r>
      <w:r w:rsidR="0060068F">
        <w:rPr>
          <w:rFonts w:ascii="宋体" w:hAnsi="宋体" w:cs="Arial"/>
          <w:bCs/>
          <w:sz w:val="24"/>
        </w:rPr>
        <w:t>嘉实中证沪港深云计算产业</w:t>
      </w:r>
      <w:r>
        <w:rPr>
          <w:rFonts w:ascii="宋体" w:hAnsi="宋体" w:cs="Arial"/>
          <w:bCs/>
          <w:sz w:val="24"/>
        </w:rPr>
        <w:t>交易型开放式指数证券投资基金基金份额上市交易公告书》</w:t>
      </w:r>
    </w:p>
    <w:p w14:paraId="7253EAF1"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法律法规：指中国现行有效并公布实施的法律、行政法规、规范性文件、司法解释、行政规章以及其他对基金合同当事人有约束力的决定、决议、通知等以及颁布机关对其不时做出的修订</w:t>
      </w:r>
    </w:p>
    <w:p w14:paraId="18691FC1"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《基金法》：指</w:t>
      </w:r>
      <w:r>
        <w:rPr>
          <w:rFonts w:ascii="宋体" w:hAnsi="宋体" w:cs="Arial"/>
          <w:sz w:val="24"/>
        </w:rPr>
        <w:t>2003年10月28日经第十届全国人民代表大会常务委员会第五次会议通过，经</w:t>
      </w:r>
      <w:r>
        <w:rPr>
          <w:rFonts w:ascii="宋体" w:hAnsi="宋体" w:cs="Arial"/>
          <w:bCs/>
          <w:sz w:val="24"/>
        </w:rPr>
        <w:t>2012年12月28日第十一届全国人民代表大会常务委员会第三十次会议修订，自2013年6月1日起实施，并经2015年4 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13F400DD"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《销售办法》：指中国证监会2020年8月28日颁布、同年10月1日实施的《公开募集证券投资基金销售机构监督管理办法》及颁布机关对其不时做</w:t>
      </w:r>
      <w:r>
        <w:rPr>
          <w:rFonts w:ascii="宋体" w:hAnsi="宋体" w:cs="Arial"/>
          <w:bCs/>
          <w:sz w:val="24"/>
        </w:rPr>
        <w:lastRenderedPageBreak/>
        <w:t>出的修订</w:t>
      </w:r>
    </w:p>
    <w:p w14:paraId="12D1D848"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《信息披露办法》：指中国证监会2019年7月26日颁布、同年9月1日实施，</w:t>
      </w:r>
      <w:r>
        <w:rPr>
          <w:rFonts w:ascii="宋体" w:hAnsi="宋体" w:cs="Arial"/>
          <w:sz w:val="24"/>
        </w:rPr>
        <w:t>并经2020年3月20日中国证监会《关于修改部分证券期货规章的决定》修订的</w:t>
      </w:r>
      <w:r>
        <w:rPr>
          <w:rFonts w:ascii="宋体" w:hAnsi="宋体" w:cs="Arial"/>
          <w:bCs/>
          <w:sz w:val="24"/>
        </w:rPr>
        <w:t>《公开募集证券投资基金信息披露管理办法》及颁布机关对其不时做出的修订</w:t>
      </w:r>
    </w:p>
    <w:p w14:paraId="17630C43"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《运作办法》：指中国证监会2014年7月7日颁布、同年8月8日实施的《公开募集证券投资基金运作管理办法》及颁布机关对其不时做出的修订</w:t>
      </w:r>
    </w:p>
    <w:p w14:paraId="4DDA3277"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《流动性风险管理规定》：指中国证监会2017年8月31日颁布、同年10月1日实施的《公开募集开放式证券投资基金流动性风险管理规定》及颁布机关对其不时做出的修订</w:t>
      </w:r>
    </w:p>
    <w:p w14:paraId="46CEEE0D"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《指数基金指引》：指中国证监会2021年1月22日颁布、同年2月1日实施的《公开募集证券投资基金运作指引第3号——指数基金指引》及颁布机关对其不时做出的修订</w:t>
      </w:r>
    </w:p>
    <w:p w14:paraId="0B8F3501"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业务规则：指上海证券交易所发布实施的《上海证券交易所交易型开放式指数基金业务实施细则》及其不时修订的版本、中国证券登记结算有限责任公司发布实施的《中国证券登记结算有限责任公司关于交易所交易型开放式证券投资基金登记结算业务实施细则》及其不时修订的版本，以及基金管理人、上海证券交易所、中国证券登记结算有限责任公司发布及其不时修订的其他相关规则和规定</w:t>
      </w:r>
    </w:p>
    <w:p w14:paraId="0FF11765"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交易型开放式指数证券投资基金：指《上海证券交易所交易型开放式指数基金业务实施细则》定义的“交易型开放式指数基金”，简称ETF</w:t>
      </w:r>
    </w:p>
    <w:p w14:paraId="2F1B41BA"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ETF联接基金：指将绝大多数基金财产投资于本基金，与本基金的投资目标类似，</w:t>
      </w:r>
      <w:r>
        <w:rPr>
          <w:rFonts w:ascii="宋体" w:hAnsi="宋体" w:hint="eastAsia"/>
          <w:bCs/>
          <w:sz w:val="24"/>
        </w:rPr>
        <w:t>通过</w:t>
      </w:r>
      <w:r>
        <w:rPr>
          <w:rFonts w:ascii="宋体" w:hAnsi="宋体"/>
          <w:bCs/>
          <w:sz w:val="24"/>
        </w:rPr>
        <w:t>投资于本基金</w:t>
      </w:r>
      <w:r>
        <w:rPr>
          <w:rFonts w:ascii="宋体" w:hAnsi="宋体" w:cs="Arial"/>
          <w:bCs/>
          <w:sz w:val="24"/>
        </w:rPr>
        <w:t>紧密跟踪标的指数表现，追求跟踪偏离度和跟踪误差最小化，采用开放式运作方式的基金，简称ETF联接</w:t>
      </w:r>
    </w:p>
    <w:p w14:paraId="43B553B6"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中国：指中华人民共和国(仅为基金合同目的不包括香港特别行政区、澳门特别行政区及台湾地区)</w:t>
      </w:r>
    </w:p>
    <w:p w14:paraId="1E595079"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中国证监会：指中国证券监督管理委员会</w:t>
      </w:r>
    </w:p>
    <w:p w14:paraId="5F92992C" w14:textId="77777777" w:rsidR="00725419" w:rsidRPr="00725419" w:rsidRDefault="00725419" w:rsidP="00725419">
      <w:pPr>
        <w:numPr>
          <w:ilvl w:val="0"/>
          <w:numId w:val="3"/>
        </w:numPr>
        <w:adjustRightInd w:val="0"/>
        <w:snapToGrid w:val="0"/>
        <w:spacing w:line="360" w:lineRule="auto"/>
        <w:ind w:left="0" w:firstLineChars="177" w:firstLine="425"/>
        <w:rPr>
          <w:rFonts w:ascii="宋体" w:hAnsi="宋体" w:cs="Arial"/>
          <w:bCs/>
          <w:sz w:val="24"/>
        </w:rPr>
      </w:pPr>
      <w:r w:rsidRPr="00725419">
        <w:rPr>
          <w:rFonts w:ascii="宋体" w:hAnsi="宋体" w:cs="Arial" w:hint="eastAsia"/>
          <w:bCs/>
          <w:sz w:val="24"/>
        </w:rPr>
        <w:t>银行业监督管理机构：指中国人民银行和/或国家金融监督管理总局等对银行业金融机构进行监督和管理的机构</w:t>
      </w:r>
    </w:p>
    <w:p w14:paraId="63710640" w14:textId="6DA028F2"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证券交易所：指根据法律法规的规定，由国家决定或批准设立的证券</w:t>
      </w:r>
      <w:r>
        <w:rPr>
          <w:rFonts w:ascii="宋体" w:hAnsi="宋体" w:cs="Arial"/>
          <w:bCs/>
          <w:sz w:val="24"/>
        </w:rPr>
        <w:lastRenderedPageBreak/>
        <w:t>交易场所</w:t>
      </w:r>
    </w:p>
    <w:p w14:paraId="0209AC5B"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基金合同当事人：指受基金合同约束，根据基金合同享有权利并承担义务的法律主体，包括基金管理人、基金托管人和基金份额持有人</w:t>
      </w:r>
    </w:p>
    <w:p w14:paraId="4825D023"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个人投资者：指依据有关法律法规规定可投资于证券投资基金的自然人</w:t>
      </w:r>
    </w:p>
    <w:p w14:paraId="6DAEA794"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机构投资者：指依法可以投资证券投资基金的、在中华人民共和国境内合法登记并存续或经有关政府部门批准设立并存续的企业法人、事业法人、社会团体或其他组织</w:t>
      </w:r>
    </w:p>
    <w:p w14:paraId="605FD9F1"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合格境外投资者：指符合《合格境外机构投资者和人民币合格境外机构投资者境内证券期货投资管理办法》及相关法律法规规定使用来自境外的资金进行境内证券期货</w:t>
      </w:r>
      <w:r>
        <w:rPr>
          <w:rFonts w:ascii="宋体" w:hAnsi="宋体" w:cs="Arial"/>
          <w:sz w:val="24"/>
        </w:rPr>
        <w:t>投资的境外机构投资者</w:t>
      </w:r>
      <w:r>
        <w:rPr>
          <w:rFonts w:ascii="宋体" w:hAnsi="宋体" w:cs="Arial"/>
          <w:bCs/>
          <w:sz w:val="24"/>
        </w:rPr>
        <w:t>，包括合格境外机构投资者和</w:t>
      </w:r>
      <w:r>
        <w:rPr>
          <w:rFonts w:ascii="宋体" w:hAnsi="宋体" w:cs="Arial"/>
          <w:sz w:val="24"/>
        </w:rPr>
        <w:t>人民币合格境外机构投资者</w:t>
      </w:r>
    </w:p>
    <w:p w14:paraId="5838D215"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投资人、投资者：指个人投资者、机构投资者、合格境外投资者以及法律法规或中国证监会允许购买证券投资基金的其他投资人的合称</w:t>
      </w:r>
    </w:p>
    <w:p w14:paraId="16E0602D"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基金份额持有人：指依基金合同和招募说明书合法取得基金份额的投资人</w:t>
      </w:r>
    </w:p>
    <w:p w14:paraId="38D64B15" w14:textId="43365205"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销售机构：指</w:t>
      </w:r>
      <w:r w:rsidR="00DE62A6">
        <w:rPr>
          <w:rFonts w:ascii="宋体" w:hAnsi="宋体" w:cs="Arial" w:hint="eastAsia"/>
          <w:bCs/>
          <w:sz w:val="24"/>
        </w:rPr>
        <w:t>基金管理人</w:t>
      </w:r>
      <w:r>
        <w:rPr>
          <w:rFonts w:ascii="宋体" w:hAnsi="宋体" w:cs="Arial"/>
          <w:bCs/>
          <w:sz w:val="24"/>
        </w:rPr>
        <w:t>以及符合《销售办法》和中国证监会规定的其他条件，取得</w:t>
      </w:r>
      <w:r w:rsidR="00DE62A6">
        <w:rPr>
          <w:rFonts w:ascii="宋体" w:hAnsi="宋体" w:cs="Arial"/>
          <w:bCs/>
          <w:sz w:val="24"/>
        </w:rPr>
        <w:t>公开募集证券投资</w:t>
      </w:r>
      <w:r>
        <w:rPr>
          <w:rFonts w:ascii="宋体" w:hAnsi="宋体" w:cs="Arial"/>
          <w:bCs/>
          <w:sz w:val="24"/>
        </w:rPr>
        <w:t>基金销售业务资格并与基金管理人签订了基金销售服务协议，办理基金销售业务的机构，包括发售代理机构和申购赎回代理券商</w:t>
      </w:r>
    </w:p>
    <w:p w14:paraId="100B28F7"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发售代理机构：指符合《销售办法》和中国证监会规定的其他条件，由基金管理人指定的代理本基金发售业务的机构</w:t>
      </w:r>
    </w:p>
    <w:p w14:paraId="172F5863"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申购赎回代理券商：指符合《销售办法》和中国证监会规定的其他条件，由基金管理人指定的办理本基金申购、赎回业务的证券公司，又称为代办证券公司</w:t>
      </w:r>
    </w:p>
    <w:p w14:paraId="0E5E7A7A"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登记结算业务：指根据《中国证券登记结算有限责任公司关于交易所交易型开放式证券投资基金登记结算业务实施细则》及其不时修订以及相关业务规则所定义的基金份额的登记、存管和结算等相关业务</w:t>
      </w:r>
    </w:p>
    <w:p w14:paraId="598D49C0"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登记结算机构：</w:t>
      </w:r>
      <w:proofErr w:type="gramStart"/>
      <w:r>
        <w:rPr>
          <w:rFonts w:ascii="宋体" w:hAnsi="宋体" w:cs="Arial"/>
          <w:bCs/>
          <w:sz w:val="24"/>
        </w:rPr>
        <w:t>指办理</w:t>
      </w:r>
      <w:proofErr w:type="gramEnd"/>
      <w:r>
        <w:rPr>
          <w:rFonts w:ascii="宋体" w:hAnsi="宋体" w:cs="Arial"/>
          <w:bCs/>
          <w:sz w:val="24"/>
        </w:rPr>
        <w:t>登记结算业务的机构。本基金的登记结算机构为中国证券登记结算有限责任公司</w:t>
      </w:r>
    </w:p>
    <w:p w14:paraId="1C5323C4"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lastRenderedPageBreak/>
        <w:t>基金合同生效日：指基金募集达到法律法规规定及基金合同约定的条件，基金管理人向中国证监会办理基金备案手续完毕，并获得中国证监会书面确认的日期</w:t>
      </w:r>
    </w:p>
    <w:p w14:paraId="3C8FE7F3"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基金合同终止日：指基金合同规定的基金合同终止事由出现后，基金财产清算完毕，清算结果报中国证监会备案并予以公告的日期</w:t>
      </w:r>
    </w:p>
    <w:p w14:paraId="77C235A2"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基金募集期：指自基金份额发售之日起至发售结束之日止的期间，最长不得超过3个月</w:t>
      </w:r>
    </w:p>
    <w:p w14:paraId="70907851"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hint="eastAsia"/>
          <w:bCs/>
          <w:sz w:val="24"/>
        </w:rPr>
        <w:t>港股通：指内地投资者经由内地证券交易所设立的证券交易服务公司，向香港联合交易所进行申报，买卖规定范围内的香港联合交易所上市的股票的交易机制，或有权机构对该交易机制的修改或调整</w:t>
      </w:r>
    </w:p>
    <w:p w14:paraId="7164ADFD"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存续期：指基金合同生效至终止之间的不定期期限</w:t>
      </w:r>
    </w:p>
    <w:p w14:paraId="3E73B8C6"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交易日：</w:t>
      </w:r>
      <w:r>
        <w:rPr>
          <w:rFonts w:ascii="宋体" w:hAnsi="宋体" w:cs="Arial" w:hint="eastAsia"/>
          <w:bCs/>
          <w:sz w:val="24"/>
        </w:rPr>
        <w:t>指内地、香港两地均为</w:t>
      </w:r>
      <w:proofErr w:type="gramStart"/>
      <w:r>
        <w:rPr>
          <w:rFonts w:ascii="宋体" w:hAnsi="宋体" w:cs="Arial" w:hint="eastAsia"/>
          <w:bCs/>
          <w:sz w:val="24"/>
        </w:rPr>
        <w:t>交易日且能够</w:t>
      </w:r>
      <w:proofErr w:type="gramEnd"/>
      <w:r>
        <w:rPr>
          <w:rFonts w:ascii="宋体" w:hAnsi="宋体" w:cs="Arial" w:hint="eastAsia"/>
          <w:bCs/>
          <w:sz w:val="24"/>
        </w:rPr>
        <w:t>满足结算安排、开通港股</w:t>
      </w:r>
      <w:proofErr w:type="gramStart"/>
      <w:r>
        <w:rPr>
          <w:rFonts w:ascii="宋体" w:hAnsi="宋体" w:cs="Arial" w:hint="eastAsia"/>
          <w:bCs/>
          <w:sz w:val="24"/>
        </w:rPr>
        <w:t>通交易</w:t>
      </w:r>
      <w:proofErr w:type="gramEnd"/>
      <w:r>
        <w:rPr>
          <w:rFonts w:ascii="宋体" w:hAnsi="宋体" w:cs="Arial" w:hint="eastAsia"/>
          <w:bCs/>
          <w:sz w:val="24"/>
        </w:rPr>
        <w:t>的交易日。具体交易日安排，由两地证券交易所、证券交易服务公司对市场公布</w:t>
      </w:r>
    </w:p>
    <w:p w14:paraId="78845320" w14:textId="15F5702C"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工作日：</w:t>
      </w:r>
      <w:r w:rsidR="00E82A1F" w:rsidRPr="009558B2">
        <w:rPr>
          <w:bCs/>
          <w:sz w:val="24"/>
        </w:rPr>
        <w:t>指</w:t>
      </w:r>
      <w:r w:rsidR="00E82A1F">
        <w:rPr>
          <w:rFonts w:hint="eastAsia"/>
          <w:bCs/>
          <w:sz w:val="24"/>
        </w:rPr>
        <w:t>上海</w:t>
      </w:r>
      <w:r w:rsidR="00E82A1F" w:rsidRPr="009558B2">
        <w:rPr>
          <w:bCs/>
          <w:sz w:val="24"/>
        </w:rPr>
        <w:t>证券交易所</w:t>
      </w:r>
      <w:r w:rsidR="00E82A1F">
        <w:rPr>
          <w:rFonts w:hint="eastAsia"/>
          <w:bCs/>
          <w:sz w:val="24"/>
        </w:rPr>
        <w:t>、</w:t>
      </w:r>
      <w:r w:rsidR="00E82A1F">
        <w:rPr>
          <w:bCs/>
          <w:sz w:val="24"/>
        </w:rPr>
        <w:t>深圳证券交易所、北京证券交易所</w:t>
      </w:r>
      <w:r w:rsidR="00E82A1F" w:rsidRPr="009558B2">
        <w:rPr>
          <w:bCs/>
          <w:sz w:val="24"/>
        </w:rPr>
        <w:t>正常交易</w:t>
      </w:r>
      <w:r w:rsidR="00E82A1F" w:rsidRPr="009558B2">
        <w:rPr>
          <w:rFonts w:hint="eastAsia"/>
          <w:bCs/>
          <w:sz w:val="24"/>
        </w:rPr>
        <w:t>之</w:t>
      </w:r>
      <w:r w:rsidR="00E82A1F" w:rsidRPr="009558B2">
        <w:rPr>
          <w:bCs/>
          <w:sz w:val="24"/>
        </w:rPr>
        <w:t>日</w:t>
      </w:r>
    </w:p>
    <w:p w14:paraId="0775F29B"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T日：指销售机构在规定时间受理投资人申购、赎回或其他业务申请的开放日</w:t>
      </w:r>
    </w:p>
    <w:p w14:paraId="52E8E113"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T+n日：指自T日起第n</w:t>
      </w:r>
      <w:proofErr w:type="gramStart"/>
      <w:r>
        <w:rPr>
          <w:rFonts w:ascii="宋体" w:hAnsi="宋体" w:cs="Arial"/>
          <w:bCs/>
          <w:sz w:val="24"/>
        </w:rPr>
        <w:t>个</w:t>
      </w:r>
      <w:proofErr w:type="gramEnd"/>
      <w:r>
        <w:rPr>
          <w:rFonts w:ascii="宋体" w:hAnsi="宋体" w:cs="Arial"/>
          <w:bCs/>
          <w:sz w:val="24"/>
        </w:rPr>
        <w:t>工作日(不包含T日)</w:t>
      </w:r>
    </w:p>
    <w:p w14:paraId="4B0F7BA8"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开放日：指为投资人办理基金份额申购、赎回或其他业务的工作日</w:t>
      </w:r>
      <w:r>
        <w:rPr>
          <w:rFonts w:ascii="宋体" w:hAnsi="宋体" w:cs="Arial" w:hint="eastAsia"/>
          <w:bCs/>
          <w:sz w:val="24"/>
        </w:rPr>
        <w:t>（若该工作日为非港股</w:t>
      </w:r>
      <w:proofErr w:type="gramStart"/>
      <w:r>
        <w:rPr>
          <w:rFonts w:ascii="宋体" w:hAnsi="宋体" w:cs="Arial" w:hint="eastAsia"/>
          <w:bCs/>
          <w:sz w:val="24"/>
        </w:rPr>
        <w:t>通交易</w:t>
      </w:r>
      <w:proofErr w:type="gramEnd"/>
      <w:r>
        <w:rPr>
          <w:rFonts w:ascii="宋体" w:hAnsi="宋体" w:cs="Arial" w:hint="eastAsia"/>
          <w:bCs/>
          <w:sz w:val="24"/>
        </w:rPr>
        <w:t>日，</w:t>
      </w:r>
      <w:proofErr w:type="gramStart"/>
      <w:r>
        <w:rPr>
          <w:rFonts w:ascii="宋体" w:hAnsi="宋体" w:cs="Arial" w:hint="eastAsia"/>
          <w:bCs/>
          <w:sz w:val="24"/>
        </w:rPr>
        <w:t>则基金</w:t>
      </w:r>
      <w:proofErr w:type="gramEnd"/>
      <w:r>
        <w:rPr>
          <w:rFonts w:ascii="宋体" w:hAnsi="宋体" w:cs="Arial" w:hint="eastAsia"/>
          <w:bCs/>
          <w:sz w:val="24"/>
        </w:rPr>
        <w:t>管理人不开放基金份额申购、赎回或其他业务）</w:t>
      </w:r>
    </w:p>
    <w:p w14:paraId="2C07A922"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开放时间：指开放日基金接受申购、赎回或其他交易的时间段</w:t>
      </w:r>
    </w:p>
    <w:p w14:paraId="3CF053AB"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认购：指在基金募集期内，投资人根据基金合同、招募说明书和相关公告的规定申请购买基金份额的行为</w:t>
      </w:r>
    </w:p>
    <w:p w14:paraId="6AC6AA8C"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申购：指基金合同生效后，投资人根据基金合同、招募说明书和相关公告的规定</w:t>
      </w:r>
      <w:r>
        <w:rPr>
          <w:rFonts w:ascii="宋体" w:hAnsi="宋体" w:cs="Arial" w:hint="eastAsia"/>
          <w:bCs/>
          <w:sz w:val="24"/>
        </w:rPr>
        <w:t>，</w:t>
      </w:r>
      <w:r>
        <w:rPr>
          <w:rFonts w:ascii="宋体" w:hAnsi="宋体" w:hint="eastAsia"/>
          <w:bCs/>
          <w:sz w:val="24"/>
        </w:rPr>
        <w:t>以申购赎回清单规定的申购对</w:t>
      </w:r>
      <w:proofErr w:type="gramStart"/>
      <w:r>
        <w:rPr>
          <w:rFonts w:ascii="宋体" w:hAnsi="宋体" w:hint="eastAsia"/>
          <w:bCs/>
          <w:sz w:val="24"/>
        </w:rPr>
        <w:t>价</w:t>
      </w:r>
      <w:r>
        <w:rPr>
          <w:rFonts w:ascii="宋体" w:hAnsi="宋体" w:cs="Arial"/>
          <w:bCs/>
          <w:sz w:val="24"/>
        </w:rPr>
        <w:t>申请</w:t>
      </w:r>
      <w:proofErr w:type="gramEnd"/>
      <w:r>
        <w:rPr>
          <w:rFonts w:ascii="宋体" w:hAnsi="宋体" w:cs="Arial"/>
          <w:bCs/>
          <w:sz w:val="24"/>
        </w:rPr>
        <w:t>购买基金份额的行为</w:t>
      </w:r>
    </w:p>
    <w:p w14:paraId="6289BE7C"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赎回：指基金合同生效后，基金份额持有人按基金合同、招募说明书和相关公告规定的条件，要求将基金份额兑换为</w:t>
      </w:r>
      <w:r>
        <w:rPr>
          <w:rFonts w:ascii="宋体" w:hAnsi="宋体" w:cs="Arial" w:hint="eastAsia"/>
          <w:bCs/>
          <w:sz w:val="24"/>
        </w:rPr>
        <w:t>申购赎回清单规定</w:t>
      </w:r>
      <w:r>
        <w:rPr>
          <w:rFonts w:ascii="宋体" w:hAnsi="宋体" w:cs="Arial"/>
          <w:bCs/>
          <w:sz w:val="24"/>
        </w:rPr>
        <w:t>的赎回对价的行为</w:t>
      </w:r>
    </w:p>
    <w:p w14:paraId="595D7E2D"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lastRenderedPageBreak/>
        <w:t>申购赎回清单：指由基金管理人编制的用以公告申购对价、赎回对价等信息的文件</w:t>
      </w:r>
    </w:p>
    <w:p w14:paraId="72BE6A19" w14:textId="02371A08"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申购对价：指投资人申购基金份额时，按基金合同和招募说明书规定应交付的</w:t>
      </w:r>
      <w:r w:rsidR="00082635">
        <w:rPr>
          <w:rFonts w:ascii="宋体" w:hAnsi="宋体" w:cs="Arial"/>
          <w:bCs/>
          <w:sz w:val="24"/>
        </w:rPr>
        <w:t>组合证券、</w:t>
      </w:r>
      <w:r>
        <w:rPr>
          <w:rFonts w:ascii="宋体" w:hAnsi="宋体" w:cs="Arial"/>
          <w:bCs/>
          <w:sz w:val="24"/>
        </w:rPr>
        <w:t>现金替代、现金差额及其他对价</w:t>
      </w:r>
    </w:p>
    <w:p w14:paraId="0DF9348D" w14:textId="1B743436"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赎回对价：指基金份额持有人赎回基金份额时，基金管理人按基金合同和招募说明书规定应交付给赎回申请人的</w:t>
      </w:r>
      <w:r w:rsidR="00082635">
        <w:rPr>
          <w:rFonts w:ascii="宋体" w:hAnsi="宋体" w:cs="Arial"/>
          <w:bCs/>
          <w:sz w:val="24"/>
        </w:rPr>
        <w:t>组合证券、</w:t>
      </w:r>
      <w:r>
        <w:rPr>
          <w:rFonts w:ascii="宋体" w:hAnsi="宋体" w:cs="Arial"/>
          <w:bCs/>
          <w:sz w:val="24"/>
        </w:rPr>
        <w:t>现金替代、现金差额及其他对价</w:t>
      </w:r>
    </w:p>
    <w:p w14:paraId="2C61B541" w14:textId="2E61ED2D"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标的指数：指</w:t>
      </w:r>
      <w:proofErr w:type="gramStart"/>
      <w:r w:rsidR="003F26B4">
        <w:rPr>
          <w:rFonts w:ascii="宋体" w:hAnsi="宋体" w:cs="Arial" w:hint="eastAsia"/>
          <w:bCs/>
          <w:sz w:val="24"/>
        </w:rPr>
        <w:t>中证沪港</w:t>
      </w:r>
      <w:proofErr w:type="gramEnd"/>
      <w:r w:rsidR="003F26B4">
        <w:rPr>
          <w:rFonts w:ascii="宋体" w:hAnsi="宋体" w:cs="Arial" w:hint="eastAsia"/>
          <w:bCs/>
          <w:sz w:val="24"/>
        </w:rPr>
        <w:t>深</w:t>
      </w:r>
      <w:proofErr w:type="gramStart"/>
      <w:r w:rsidR="003F26B4">
        <w:rPr>
          <w:rFonts w:ascii="宋体" w:hAnsi="宋体" w:cs="Arial" w:hint="eastAsia"/>
          <w:bCs/>
          <w:sz w:val="24"/>
        </w:rPr>
        <w:t>云计算</w:t>
      </w:r>
      <w:proofErr w:type="gramEnd"/>
      <w:r w:rsidR="003F26B4">
        <w:rPr>
          <w:rFonts w:ascii="宋体" w:hAnsi="宋体" w:cs="Arial" w:hint="eastAsia"/>
          <w:bCs/>
          <w:sz w:val="24"/>
        </w:rPr>
        <w:t>产业</w:t>
      </w:r>
      <w:r w:rsidR="00411186">
        <w:rPr>
          <w:rFonts w:ascii="宋体" w:hAnsi="宋体" w:cs="Arial" w:hint="eastAsia"/>
          <w:bCs/>
          <w:sz w:val="24"/>
        </w:rPr>
        <w:t>指数</w:t>
      </w:r>
      <w:r>
        <w:rPr>
          <w:rFonts w:ascii="宋体" w:hAnsi="宋体" w:cs="Arial"/>
          <w:bCs/>
          <w:sz w:val="24"/>
        </w:rPr>
        <w:t>及其未来可能发生的变更</w:t>
      </w:r>
    </w:p>
    <w:p w14:paraId="3B7342A6"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组合证券：指本基金标的指数所包含的全部或部分证券</w:t>
      </w:r>
    </w:p>
    <w:p w14:paraId="4FD0B172"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完全复制法：指一种构建跟踪指数的投资组合的方法。通过购买标的指数中的所有成份证券，并且按照每种成份证券在标的指数中的权重确定购买的比例，以达到复制指数的目的</w:t>
      </w:r>
    </w:p>
    <w:p w14:paraId="143445C6"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最小申购赎回单位：指本基金申购份额、赎回份额的最低数量，投资人申购或赎回的基金份额数应为最小申购赎回单位的整数倍</w:t>
      </w:r>
    </w:p>
    <w:p w14:paraId="34656ADD"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现金替代：指申购或赎回过程中，投资者按基金合同和招募说明书的规定，用于替代申购赎回清单中所规定证券的一定数量的现金</w:t>
      </w:r>
    </w:p>
    <w:p w14:paraId="1779C6D5" w14:textId="702102ED" w:rsidR="000438E0" w:rsidRDefault="000438E0" w:rsidP="000438E0">
      <w:pPr>
        <w:numPr>
          <w:ilvl w:val="0"/>
          <w:numId w:val="3"/>
        </w:numPr>
        <w:adjustRightInd w:val="0"/>
        <w:snapToGrid w:val="0"/>
        <w:spacing w:line="360" w:lineRule="auto"/>
        <w:ind w:left="0" w:firstLineChars="177" w:firstLine="425"/>
        <w:rPr>
          <w:rFonts w:ascii="宋体" w:hAnsi="宋体" w:cs="Arial"/>
          <w:bCs/>
          <w:sz w:val="24"/>
        </w:rPr>
      </w:pPr>
      <w:r w:rsidRPr="000438E0">
        <w:rPr>
          <w:rFonts w:ascii="宋体" w:hAnsi="宋体" w:cs="Arial" w:hint="eastAsia"/>
          <w:bCs/>
          <w:sz w:val="24"/>
        </w:rPr>
        <w:t>现金替代退补款：指投资人支付的现金替代与基金购入被替代成份证券的成本及相关费用的差额。若现金替代大于本基金购入被替代成份证券的成本及相关费用，则本基金需向投资人退还差额，若现金替代小于本基金购入被替代成份证券的成本及相关费用，则投资人需向本基金补缴差额</w:t>
      </w:r>
    </w:p>
    <w:p w14:paraId="31C16106" w14:textId="290A9EC5"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现金差额：指最小申购赎回单位的资产净值与按当日收盘价计算的最小申购赎回单位中的组合证券市值和现金替代之差；投资者申购或赎回时应支付或应获得的现金差额根据最小申购赎回单位对应的现金差额、申购或赎回的基金份额数计算</w:t>
      </w:r>
    </w:p>
    <w:p w14:paraId="62B3FA9F"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预估现金部分：指由基金管理人计算并在T日申购赎回清单中公布的当日现金差额的预估值，预估现金部分由申购赎回代理券商（代办证券公司）预先冻结</w:t>
      </w:r>
    </w:p>
    <w:p w14:paraId="2DA27EA1"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元：指人民币元</w:t>
      </w:r>
    </w:p>
    <w:p w14:paraId="4DE0AA4C"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基金资产总值：指基金拥有的各类有价证券、银行存款本息、基金应收款项及其他资产的价值总和</w:t>
      </w:r>
    </w:p>
    <w:p w14:paraId="3EF20E36"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lastRenderedPageBreak/>
        <w:t>基金资产净值：指基金资产总值减去基金负债后的价值</w:t>
      </w:r>
    </w:p>
    <w:p w14:paraId="6717F6F8"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基金份额净值：指计算日基金资产净值除以计算日基金份额总数</w:t>
      </w:r>
    </w:p>
    <w:p w14:paraId="1D6A81A1"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基金资产估值：指计算评估基金资产和负债的价值，以确定基金资产净值和基金份额净值的过程</w:t>
      </w:r>
    </w:p>
    <w:p w14:paraId="6B52DC46" w14:textId="6592E3CE" w:rsidR="00C52815" w:rsidRDefault="005C44F4" w:rsidP="000438E0">
      <w:pPr>
        <w:numPr>
          <w:ilvl w:val="0"/>
          <w:numId w:val="3"/>
        </w:numPr>
        <w:adjustRightInd w:val="0"/>
        <w:snapToGrid w:val="0"/>
        <w:spacing w:line="360" w:lineRule="auto"/>
        <w:ind w:left="0" w:firstLineChars="177" w:firstLine="425"/>
        <w:rPr>
          <w:rFonts w:ascii="宋体" w:hAnsi="宋体" w:cs="Arial"/>
          <w:bCs/>
          <w:sz w:val="24"/>
        </w:rPr>
      </w:pPr>
      <w:bookmarkStart w:id="59" w:name="_Hlk31834010"/>
      <w:r>
        <w:rPr>
          <w:rFonts w:ascii="宋体" w:hAnsi="宋体" w:cs="Arial"/>
          <w:bCs/>
          <w:sz w:val="24"/>
        </w:rPr>
        <w:t>基金份额参考净值：</w:t>
      </w:r>
      <w:bookmarkStart w:id="60" w:name="_Hlk31829244"/>
      <w:r w:rsidR="000438E0" w:rsidRPr="000438E0">
        <w:rPr>
          <w:rFonts w:ascii="宋体" w:hAnsi="宋体" w:cs="Arial" w:hint="eastAsia"/>
          <w:bCs/>
          <w:sz w:val="24"/>
        </w:rPr>
        <w:t>指基金管理人或基金管理人委托的其他机构在相关证券交易所交易时间内根据申购赎回清单和组合证券内各只证券的实时成交数据计算并发布的基金份额参考净值，简称IOPV</w:t>
      </w:r>
      <w:bookmarkEnd w:id="60"/>
    </w:p>
    <w:p w14:paraId="01D4BD68" w14:textId="69BC4535" w:rsidR="00A65DC6" w:rsidRPr="00A65DC6" w:rsidRDefault="00A65DC6" w:rsidP="00A65DC6">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基金份额折算：指基金管理人根据基金运作的需要，在基金资产净值不变的前提下，按照一定比例调整基金份额总额及基金份额净值的行为</w:t>
      </w:r>
    </w:p>
    <w:bookmarkEnd w:id="59"/>
    <w:p w14:paraId="1D83B3D1" w14:textId="1220DEC6"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转融通证券出借业务：简称出借业务，是指本基金以一定的费率通过证券交易所综合业务平台向中国证券金融股份有限公司（以下简称证券金融公司）出借证券，证券金融公司到期归还所借证券及相应权益补偿并支付费用的业务</w:t>
      </w:r>
    </w:p>
    <w:p w14:paraId="609618B0" w14:textId="120F1152" w:rsidR="00C52815" w:rsidRDefault="005C44F4">
      <w:pPr>
        <w:numPr>
          <w:ilvl w:val="0"/>
          <w:numId w:val="3"/>
        </w:numPr>
        <w:adjustRightInd w:val="0"/>
        <w:snapToGrid w:val="0"/>
        <w:spacing w:line="360" w:lineRule="auto"/>
        <w:ind w:left="0" w:firstLine="426"/>
        <w:rPr>
          <w:rFonts w:ascii="宋体" w:hAnsi="宋体" w:cs="Arial"/>
          <w:bCs/>
          <w:sz w:val="24"/>
        </w:rPr>
      </w:pPr>
      <w:r>
        <w:rPr>
          <w:rFonts w:ascii="宋体" w:hAnsi="宋体" w:cs="Arial"/>
          <w:bCs/>
          <w:sz w:val="24"/>
        </w:rPr>
        <w:t>流动性受限资产：指由于法律法规、监管、合同或操作障碍等原因无法以合理价格予以变现的资产，包括但不限于到期日在10个交易日以上的逆回购与银行定期存款（</w:t>
      </w:r>
      <w:proofErr w:type="gramStart"/>
      <w:r>
        <w:rPr>
          <w:rFonts w:ascii="宋体" w:hAnsi="宋体" w:cs="Arial"/>
          <w:bCs/>
          <w:sz w:val="24"/>
        </w:rPr>
        <w:t>含协议</w:t>
      </w:r>
      <w:proofErr w:type="gramEnd"/>
      <w:r>
        <w:rPr>
          <w:rFonts w:ascii="宋体" w:hAnsi="宋体" w:cs="Arial"/>
          <w:bCs/>
          <w:sz w:val="24"/>
        </w:rPr>
        <w:t>约定有条件提前支取的银行存款）、停牌股票、流通受限的新股及非公开发行股票、资产支持证券、因发行人债务违约无法进行转让或交易的债券等</w:t>
      </w:r>
    </w:p>
    <w:p w14:paraId="793E07E1" w14:textId="7DD492B0" w:rsidR="00C52815" w:rsidRDefault="005C44F4">
      <w:pPr>
        <w:numPr>
          <w:ilvl w:val="0"/>
          <w:numId w:val="3"/>
        </w:numPr>
        <w:adjustRightInd w:val="0"/>
        <w:snapToGrid w:val="0"/>
        <w:spacing w:line="360" w:lineRule="auto"/>
        <w:ind w:left="0" w:firstLine="426"/>
        <w:rPr>
          <w:rFonts w:ascii="宋体" w:hAnsi="宋体" w:cs="Arial"/>
          <w:bCs/>
          <w:sz w:val="24"/>
        </w:rPr>
      </w:pPr>
      <w:r>
        <w:rPr>
          <w:rFonts w:ascii="宋体" w:hAnsi="宋体" w:cs="Arial"/>
          <w:bCs/>
          <w:sz w:val="24"/>
        </w:rPr>
        <w:t>基金产品资料概要：指《</w:t>
      </w:r>
      <w:r w:rsidR="0060068F">
        <w:rPr>
          <w:rFonts w:ascii="宋体" w:hAnsi="宋体" w:cs="Arial"/>
          <w:bCs/>
          <w:sz w:val="24"/>
        </w:rPr>
        <w:t>嘉实中证沪港深云计算产业</w:t>
      </w:r>
      <w:r>
        <w:rPr>
          <w:rFonts w:ascii="宋体" w:hAnsi="宋体" w:cs="Arial"/>
          <w:bCs/>
          <w:sz w:val="24"/>
        </w:rPr>
        <w:t>交易型开放式指数证券投资基金基金产品资料概要》及其更新</w:t>
      </w:r>
    </w:p>
    <w:p w14:paraId="5BC12AD0"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规定媒介：指符合中国证监会规定条件的用以进行信息披露的全国性报刊及《信息披露办法》规定的互联网网站（包括基金管理人网站、基金托管人网站、中国证监会基金电子披露网站）等媒介</w:t>
      </w:r>
    </w:p>
    <w:p w14:paraId="1C9452F1"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不可抗力：指本基金合同当事人不能预见、不能避免且不能克服的客观事件</w:t>
      </w:r>
    </w:p>
    <w:p w14:paraId="013EB82E" w14:textId="77777777" w:rsidR="00C52815" w:rsidRDefault="005C44F4">
      <w:pPr>
        <w:pStyle w:val="1"/>
        <w:spacing w:before="0" w:after="0"/>
        <w:jc w:val="center"/>
        <w:rPr>
          <w:rFonts w:hAnsi="宋体" w:cs="Arial"/>
          <w:color w:val="auto"/>
          <w:sz w:val="30"/>
        </w:rPr>
      </w:pPr>
      <w:r>
        <w:rPr>
          <w:rFonts w:hAnsi="宋体" w:cs="Arial"/>
          <w:b w:val="0"/>
          <w:bCs/>
          <w:color w:val="auto"/>
        </w:rPr>
        <w:br w:type="page"/>
      </w:r>
      <w:bookmarkStart w:id="61" w:name="_Toc26866"/>
      <w:bookmarkStart w:id="62" w:name="_Toc6149"/>
      <w:bookmarkStart w:id="63" w:name="_Toc114406669"/>
      <w:bookmarkStart w:id="64" w:name="_Toc18631"/>
      <w:bookmarkStart w:id="65" w:name="_Toc5246"/>
      <w:bookmarkStart w:id="66" w:name="_Toc13288"/>
      <w:bookmarkStart w:id="67" w:name="_Toc26614"/>
      <w:bookmarkStart w:id="68" w:name="_Toc28769"/>
      <w:bookmarkStart w:id="69" w:name="_Toc6683"/>
      <w:bookmarkStart w:id="70" w:name="_Toc20318"/>
      <w:bookmarkStart w:id="71" w:name="_Toc24571"/>
      <w:bookmarkStart w:id="72" w:name="_Toc20627"/>
      <w:bookmarkStart w:id="73" w:name="_Toc22708"/>
      <w:bookmarkStart w:id="74" w:name="_Toc545"/>
      <w:bookmarkStart w:id="75" w:name="_Toc733"/>
      <w:bookmarkStart w:id="76" w:name="_Toc233456272"/>
      <w:bookmarkStart w:id="77" w:name="_Toc258829400"/>
      <w:r>
        <w:rPr>
          <w:rFonts w:hAnsi="宋体" w:cs="Arial"/>
          <w:color w:val="auto"/>
          <w:sz w:val="30"/>
        </w:rPr>
        <w:lastRenderedPageBreak/>
        <w:t>第三部分  基金的基本情况</w:t>
      </w:r>
      <w:bookmarkStart w:id="78" w:name="_Toc7939257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5E2C5AE8" w14:textId="77777777" w:rsidR="00C52815" w:rsidRDefault="00C52815">
      <w:pPr>
        <w:spacing w:line="360" w:lineRule="auto"/>
        <w:ind w:firstLine="540"/>
        <w:rPr>
          <w:rFonts w:ascii="宋体" w:hAnsi="宋体" w:cs="Arial"/>
          <w:bCs/>
          <w:sz w:val="24"/>
        </w:rPr>
      </w:pPr>
      <w:bookmarkStart w:id="79" w:name="_Hlt88031774"/>
      <w:bookmarkStart w:id="80" w:name="_Hlt88031741"/>
      <w:bookmarkEnd w:id="79"/>
      <w:bookmarkEnd w:id="80"/>
    </w:p>
    <w:p w14:paraId="66A857D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一、基金名称</w:t>
      </w:r>
      <w:bookmarkEnd w:id="78"/>
    </w:p>
    <w:p w14:paraId="633EA513" w14:textId="5F0C64BE" w:rsidR="00C52815" w:rsidRDefault="0060068F">
      <w:pPr>
        <w:spacing w:line="360" w:lineRule="auto"/>
        <w:ind w:firstLineChars="200" w:firstLine="480"/>
        <w:rPr>
          <w:rFonts w:ascii="宋体" w:hAnsi="宋体" w:cs="Arial"/>
          <w:bCs/>
          <w:sz w:val="24"/>
        </w:rPr>
      </w:pPr>
      <w:r>
        <w:rPr>
          <w:rFonts w:ascii="宋体" w:hAnsi="宋体" w:cs="Arial"/>
          <w:bCs/>
          <w:sz w:val="24"/>
        </w:rPr>
        <w:t>嘉实</w:t>
      </w:r>
      <w:proofErr w:type="gramStart"/>
      <w:r>
        <w:rPr>
          <w:rFonts w:ascii="宋体" w:hAnsi="宋体" w:cs="Arial"/>
          <w:bCs/>
          <w:sz w:val="24"/>
        </w:rPr>
        <w:t>中证沪港</w:t>
      </w:r>
      <w:proofErr w:type="gramEnd"/>
      <w:r>
        <w:rPr>
          <w:rFonts w:ascii="宋体" w:hAnsi="宋体" w:cs="Arial"/>
          <w:bCs/>
          <w:sz w:val="24"/>
        </w:rPr>
        <w:t>深</w:t>
      </w:r>
      <w:proofErr w:type="gramStart"/>
      <w:r>
        <w:rPr>
          <w:rFonts w:ascii="宋体" w:hAnsi="宋体" w:cs="Arial"/>
          <w:bCs/>
          <w:sz w:val="24"/>
        </w:rPr>
        <w:t>云计算</w:t>
      </w:r>
      <w:proofErr w:type="gramEnd"/>
      <w:r>
        <w:rPr>
          <w:rFonts w:ascii="宋体" w:hAnsi="宋体" w:cs="Arial"/>
          <w:bCs/>
          <w:sz w:val="24"/>
        </w:rPr>
        <w:t>产业</w:t>
      </w:r>
      <w:r w:rsidR="005C44F4">
        <w:rPr>
          <w:rFonts w:ascii="宋体" w:hAnsi="宋体" w:cs="Arial"/>
          <w:bCs/>
          <w:sz w:val="24"/>
        </w:rPr>
        <w:t>交易型开放式指数证券投资基金</w:t>
      </w:r>
    </w:p>
    <w:p w14:paraId="754FBF2A" w14:textId="77777777" w:rsidR="00C52815" w:rsidRDefault="00C52815">
      <w:pPr>
        <w:spacing w:line="360" w:lineRule="auto"/>
        <w:ind w:firstLineChars="200" w:firstLine="480"/>
        <w:rPr>
          <w:rFonts w:ascii="宋体" w:hAnsi="宋体" w:cs="Arial"/>
          <w:bCs/>
          <w:sz w:val="24"/>
        </w:rPr>
      </w:pPr>
    </w:p>
    <w:p w14:paraId="0F65925E" w14:textId="77777777" w:rsidR="00C52815" w:rsidRDefault="005C44F4">
      <w:pPr>
        <w:spacing w:line="360" w:lineRule="auto"/>
        <w:ind w:firstLineChars="200" w:firstLine="480"/>
        <w:rPr>
          <w:rFonts w:ascii="宋体" w:hAnsi="宋体" w:cs="Arial"/>
          <w:bCs/>
          <w:sz w:val="24"/>
        </w:rPr>
      </w:pPr>
      <w:bookmarkStart w:id="81" w:name="_Toc79392574"/>
      <w:r>
        <w:rPr>
          <w:rFonts w:ascii="宋体" w:hAnsi="宋体" w:cs="Arial"/>
          <w:bCs/>
          <w:sz w:val="24"/>
        </w:rPr>
        <w:t>二、基金的类别</w:t>
      </w:r>
      <w:bookmarkEnd w:id="81"/>
    </w:p>
    <w:p w14:paraId="46ACC709" w14:textId="77777777" w:rsidR="00C52815" w:rsidRDefault="005C44F4">
      <w:pPr>
        <w:spacing w:line="360" w:lineRule="auto"/>
        <w:ind w:leftChars="257" w:left="796" w:hanging="256"/>
        <w:rPr>
          <w:rFonts w:ascii="宋体" w:hAnsi="宋体" w:cs="Arial"/>
          <w:bCs/>
          <w:sz w:val="24"/>
        </w:rPr>
      </w:pPr>
      <w:r>
        <w:rPr>
          <w:rFonts w:ascii="宋体" w:hAnsi="宋体" w:cs="Arial"/>
          <w:bCs/>
          <w:sz w:val="24"/>
        </w:rPr>
        <w:t>股票</w:t>
      </w:r>
      <w:proofErr w:type="gramStart"/>
      <w:r>
        <w:rPr>
          <w:rFonts w:ascii="宋体" w:hAnsi="宋体" w:cs="Arial"/>
          <w:bCs/>
          <w:sz w:val="24"/>
        </w:rPr>
        <w:t>型指数</w:t>
      </w:r>
      <w:proofErr w:type="gramEnd"/>
      <w:r>
        <w:rPr>
          <w:rFonts w:ascii="宋体" w:hAnsi="宋体" w:cs="Arial"/>
          <w:bCs/>
          <w:sz w:val="24"/>
        </w:rPr>
        <w:t>证券投资基金</w:t>
      </w:r>
    </w:p>
    <w:p w14:paraId="6D5C8885" w14:textId="77777777" w:rsidR="00C52815" w:rsidRDefault="00C52815">
      <w:pPr>
        <w:spacing w:line="360" w:lineRule="auto"/>
        <w:ind w:leftChars="257" w:left="796" w:hanging="256"/>
        <w:rPr>
          <w:rFonts w:ascii="宋体" w:hAnsi="宋体" w:cs="Arial"/>
          <w:bCs/>
          <w:sz w:val="24"/>
        </w:rPr>
      </w:pPr>
    </w:p>
    <w:p w14:paraId="11EE57DF" w14:textId="77777777" w:rsidR="00C52815" w:rsidRDefault="005C44F4" w:rsidP="00261C15">
      <w:pPr>
        <w:spacing w:line="360" w:lineRule="auto"/>
        <w:ind w:firstLineChars="200" w:firstLine="480"/>
        <w:rPr>
          <w:rFonts w:ascii="宋体" w:hAnsi="宋体" w:cs="Arial"/>
          <w:bCs/>
          <w:sz w:val="24"/>
        </w:rPr>
      </w:pPr>
      <w:bookmarkStart w:id="82" w:name="_Toc79392575"/>
      <w:r>
        <w:rPr>
          <w:rFonts w:ascii="宋体" w:hAnsi="宋体" w:cs="Arial"/>
          <w:bCs/>
          <w:sz w:val="24"/>
        </w:rPr>
        <w:t>三、基金的运作方式</w:t>
      </w:r>
    </w:p>
    <w:p w14:paraId="7FADBBBB" w14:textId="77777777" w:rsidR="00C52815" w:rsidRDefault="005C44F4">
      <w:pPr>
        <w:spacing w:line="360" w:lineRule="auto"/>
        <w:ind w:leftChars="257" w:left="796" w:hanging="256"/>
        <w:rPr>
          <w:rFonts w:ascii="宋体" w:hAnsi="宋体" w:cs="Arial"/>
          <w:bCs/>
          <w:sz w:val="24"/>
        </w:rPr>
      </w:pPr>
      <w:r>
        <w:rPr>
          <w:rFonts w:ascii="宋体" w:hAnsi="宋体" w:cs="Arial"/>
          <w:bCs/>
          <w:sz w:val="24"/>
        </w:rPr>
        <w:t>交易型开放式</w:t>
      </w:r>
    </w:p>
    <w:p w14:paraId="4707FE34" w14:textId="77777777" w:rsidR="00C52815" w:rsidRDefault="00C52815">
      <w:pPr>
        <w:spacing w:line="360" w:lineRule="auto"/>
        <w:ind w:leftChars="257" w:left="796" w:hanging="256"/>
        <w:rPr>
          <w:rFonts w:ascii="宋体" w:hAnsi="宋体" w:cs="Arial"/>
          <w:bCs/>
          <w:sz w:val="24"/>
        </w:rPr>
      </w:pPr>
    </w:p>
    <w:p w14:paraId="18AFE1B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四、基金的投资目标</w:t>
      </w:r>
      <w:bookmarkEnd w:id="82"/>
    </w:p>
    <w:p w14:paraId="2E73E920" w14:textId="1831AB41" w:rsidR="00C52815" w:rsidRDefault="005C44F4">
      <w:pPr>
        <w:pStyle w:val="20"/>
        <w:rPr>
          <w:rFonts w:ascii="宋体" w:eastAsia="宋体" w:hAnsi="宋体" w:cs="Arial"/>
          <w:bCs/>
          <w:sz w:val="24"/>
        </w:rPr>
      </w:pPr>
      <w:r>
        <w:rPr>
          <w:rFonts w:ascii="宋体" w:eastAsia="宋体" w:hAnsi="宋体" w:cs="Arial" w:hint="eastAsia"/>
          <w:bCs/>
          <w:sz w:val="24"/>
        </w:rPr>
        <w:t>本基金进行被动式指数化投资，紧密跟踪标的指数，追求跟踪偏离度和跟踪误差的最小化，</w:t>
      </w:r>
      <w:r w:rsidR="00884C7F" w:rsidRPr="00884C7F">
        <w:rPr>
          <w:rFonts w:ascii="宋体" w:eastAsia="宋体" w:hAnsi="宋体" w:cs="Arial" w:hint="eastAsia"/>
          <w:bCs/>
          <w:sz w:val="24"/>
        </w:rPr>
        <w:t>力争日均跟踪偏离度的绝对值不超过0.35%，</w:t>
      </w:r>
      <w:proofErr w:type="gramStart"/>
      <w:r w:rsidR="00884C7F" w:rsidRPr="00884C7F">
        <w:rPr>
          <w:rFonts w:ascii="宋体" w:eastAsia="宋体" w:hAnsi="宋体" w:cs="Arial" w:hint="eastAsia"/>
          <w:bCs/>
          <w:sz w:val="24"/>
        </w:rPr>
        <w:t>年化跟踪误差</w:t>
      </w:r>
      <w:proofErr w:type="gramEnd"/>
      <w:r w:rsidR="00884C7F" w:rsidRPr="00884C7F">
        <w:rPr>
          <w:rFonts w:ascii="宋体" w:eastAsia="宋体" w:hAnsi="宋体" w:cs="Arial" w:hint="eastAsia"/>
          <w:bCs/>
          <w:sz w:val="24"/>
        </w:rPr>
        <w:t>不超过4%</w:t>
      </w:r>
      <w:r>
        <w:rPr>
          <w:rFonts w:ascii="宋体" w:eastAsia="宋体" w:hAnsi="宋体" w:cs="Arial"/>
          <w:bCs/>
          <w:sz w:val="24"/>
        </w:rPr>
        <w:t>。</w:t>
      </w:r>
    </w:p>
    <w:p w14:paraId="2FC345D2" w14:textId="77777777" w:rsidR="00C52815" w:rsidRDefault="00C52815">
      <w:pPr>
        <w:pStyle w:val="20"/>
        <w:rPr>
          <w:rFonts w:ascii="宋体" w:eastAsia="宋体" w:hAnsi="宋体" w:cs="Arial"/>
          <w:bCs/>
          <w:sz w:val="24"/>
        </w:rPr>
      </w:pPr>
    </w:p>
    <w:p w14:paraId="715A50EB" w14:textId="37AE665F" w:rsidR="00C52815" w:rsidRDefault="005C44F4">
      <w:pPr>
        <w:spacing w:line="360" w:lineRule="auto"/>
        <w:ind w:firstLineChars="200" w:firstLine="480"/>
        <w:rPr>
          <w:rFonts w:ascii="宋体" w:hAnsi="宋体" w:cs="Arial"/>
          <w:bCs/>
          <w:sz w:val="24"/>
        </w:rPr>
      </w:pPr>
      <w:bookmarkStart w:id="83" w:name="_Toc79392576"/>
      <w:r>
        <w:rPr>
          <w:rFonts w:ascii="宋体" w:hAnsi="宋体" w:cs="Arial"/>
          <w:bCs/>
          <w:sz w:val="24"/>
        </w:rPr>
        <w:t>五、基金的最低募集份额总额</w:t>
      </w:r>
      <w:bookmarkEnd w:id="83"/>
    </w:p>
    <w:p w14:paraId="30DF3A16" w14:textId="5546FEC4" w:rsidR="00C52815" w:rsidRDefault="005C44F4">
      <w:pPr>
        <w:spacing w:line="360" w:lineRule="auto"/>
        <w:ind w:firstLineChars="200" w:firstLine="480"/>
        <w:rPr>
          <w:rFonts w:ascii="宋体" w:hAnsi="宋体" w:cs="Arial"/>
          <w:bCs/>
          <w:sz w:val="24"/>
        </w:rPr>
      </w:pPr>
      <w:r>
        <w:rPr>
          <w:rFonts w:ascii="宋体" w:hAnsi="宋体" w:cs="Arial"/>
          <w:bCs/>
          <w:sz w:val="24"/>
        </w:rPr>
        <w:t>本基金的最低募集份额总额为2亿份。</w:t>
      </w:r>
    </w:p>
    <w:p w14:paraId="7EC43B6D" w14:textId="77777777" w:rsidR="00C52815" w:rsidRDefault="00C52815">
      <w:pPr>
        <w:spacing w:line="360" w:lineRule="auto"/>
        <w:ind w:firstLineChars="200" w:firstLine="480"/>
        <w:rPr>
          <w:rFonts w:ascii="宋体" w:hAnsi="宋体" w:cs="Arial"/>
          <w:bCs/>
          <w:sz w:val="24"/>
        </w:rPr>
      </w:pPr>
    </w:p>
    <w:p w14:paraId="4928B1D8" w14:textId="77777777" w:rsidR="00C52815" w:rsidRDefault="005C44F4">
      <w:pPr>
        <w:spacing w:line="360" w:lineRule="auto"/>
        <w:ind w:firstLineChars="200" w:firstLine="480"/>
        <w:rPr>
          <w:rFonts w:ascii="宋体" w:hAnsi="宋体" w:cs="Arial"/>
          <w:bCs/>
          <w:sz w:val="24"/>
        </w:rPr>
      </w:pPr>
      <w:bookmarkStart w:id="84" w:name="_Toc79392577"/>
      <w:r>
        <w:rPr>
          <w:rFonts w:ascii="宋体" w:hAnsi="宋体" w:cs="Arial"/>
          <w:bCs/>
          <w:sz w:val="24"/>
        </w:rPr>
        <w:t>六、基金份额初始面值</w:t>
      </w:r>
      <w:bookmarkEnd w:id="84"/>
    </w:p>
    <w:p w14:paraId="393B7F04" w14:textId="77777777" w:rsidR="00C52815" w:rsidRDefault="005C44F4">
      <w:pPr>
        <w:spacing w:line="360" w:lineRule="auto"/>
        <w:ind w:firstLine="480"/>
        <w:rPr>
          <w:rFonts w:ascii="宋体" w:hAnsi="宋体" w:cs="Arial"/>
          <w:bCs/>
          <w:sz w:val="24"/>
        </w:rPr>
      </w:pPr>
      <w:r>
        <w:rPr>
          <w:rFonts w:ascii="宋体" w:hAnsi="宋体" w:cs="Arial"/>
          <w:bCs/>
          <w:sz w:val="24"/>
        </w:rPr>
        <w:t>本</w:t>
      </w:r>
      <w:proofErr w:type="gramStart"/>
      <w:r>
        <w:rPr>
          <w:rFonts w:ascii="宋体" w:hAnsi="宋体" w:cs="Arial"/>
          <w:bCs/>
          <w:sz w:val="24"/>
        </w:rPr>
        <w:t>基金基金</w:t>
      </w:r>
      <w:proofErr w:type="gramEnd"/>
      <w:r>
        <w:rPr>
          <w:rFonts w:ascii="宋体" w:hAnsi="宋体" w:cs="Arial"/>
          <w:bCs/>
          <w:sz w:val="24"/>
        </w:rPr>
        <w:t>份额初始面值为人民币1.00元。</w:t>
      </w:r>
    </w:p>
    <w:p w14:paraId="3A84843C" w14:textId="77777777" w:rsidR="00C52815" w:rsidRDefault="00C52815">
      <w:pPr>
        <w:autoSpaceDE w:val="0"/>
        <w:autoSpaceDN w:val="0"/>
        <w:adjustRightInd w:val="0"/>
        <w:spacing w:line="360" w:lineRule="auto"/>
        <w:ind w:firstLineChars="200" w:firstLine="480"/>
        <w:jc w:val="left"/>
        <w:rPr>
          <w:rFonts w:ascii="宋体" w:hAnsi="宋体" w:cs="Arial"/>
          <w:bCs/>
          <w:sz w:val="24"/>
        </w:rPr>
      </w:pPr>
    </w:p>
    <w:p w14:paraId="08D1CC17" w14:textId="77777777" w:rsidR="00C52815" w:rsidRDefault="005C44F4">
      <w:pPr>
        <w:spacing w:line="360" w:lineRule="auto"/>
        <w:ind w:firstLineChars="200" w:firstLine="480"/>
        <w:rPr>
          <w:rFonts w:ascii="宋体" w:hAnsi="宋体" w:cs="Arial"/>
          <w:bCs/>
          <w:sz w:val="24"/>
        </w:rPr>
      </w:pPr>
      <w:bookmarkStart w:id="85" w:name="_Toc79392578"/>
      <w:r>
        <w:rPr>
          <w:rFonts w:ascii="宋体" w:hAnsi="宋体" w:cs="Arial"/>
          <w:bCs/>
          <w:sz w:val="24"/>
        </w:rPr>
        <w:t>七、基金存续期限</w:t>
      </w:r>
      <w:bookmarkEnd w:id="85"/>
    </w:p>
    <w:p w14:paraId="738F3D1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不定期</w:t>
      </w:r>
    </w:p>
    <w:p w14:paraId="59284232" w14:textId="77777777" w:rsidR="00C52815" w:rsidRDefault="00C52815">
      <w:pPr>
        <w:spacing w:line="360" w:lineRule="auto"/>
        <w:ind w:firstLineChars="200" w:firstLine="480"/>
        <w:rPr>
          <w:rFonts w:ascii="宋体" w:hAnsi="宋体" w:cs="Arial"/>
          <w:bCs/>
          <w:sz w:val="24"/>
        </w:rPr>
      </w:pPr>
    </w:p>
    <w:p w14:paraId="78806F12" w14:textId="77777777" w:rsidR="00C52815" w:rsidRDefault="005C44F4">
      <w:pPr>
        <w:spacing w:line="360" w:lineRule="auto"/>
        <w:ind w:firstLineChars="200" w:firstLine="480"/>
        <w:rPr>
          <w:rFonts w:ascii="宋体" w:hAnsi="宋体" w:cs="Arial"/>
          <w:bCs/>
          <w:sz w:val="24"/>
        </w:rPr>
      </w:pPr>
      <w:r>
        <w:rPr>
          <w:rFonts w:ascii="宋体" w:hAnsi="宋体" w:cs="Arial"/>
          <w:sz w:val="24"/>
        </w:rPr>
        <w:t>八、</w:t>
      </w:r>
      <w:r>
        <w:rPr>
          <w:rFonts w:ascii="宋体" w:hAnsi="宋体" w:cs="Arial"/>
          <w:bCs/>
          <w:sz w:val="24"/>
        </w:rPr>
        <w:t>标的指数</w:t>
      </w:r>
    </w:p>
    <w:p w14:paraId="72320FDB" w14:textId="10D349BF" w:rsidR="00C52815" w:rsidRDefault="005C44F4">
      <w:pPr>
        <w:spacing w:line="360" w:lineRule="auto"/>
        <w:ind w:firstLineChars="200" w:firstLine="480"/>
        <w:rPr>
          <w:rFonts w:ascii="宋体" w:hAnsi="宋体" w:cs="Arial"/>
          <w:bCs/>
          <w:sz w:val="24"/>
        </w:rPr>
      </w:pPr>
      <w:r>
        <w:rPr>
          <w:rFonts w:ascii="宋体" w:hAnsi="宋体" w:cs="Arial"/>
          <w:bCs/>
          <w:sz w:val="24"/>
        </w:rPr>
        <w:t>本基金的标的指数为</w:t>
      </w:r>
      <w:proofErr w:type="gramStart"/>
      <w:r w:rsidR="003F26B4">
        <w:rPr>
          <w:rFonts w:ascii="宋体" w:hAnsi="宋体" w:cs="Arial" w:hint="eastAsia"/>
          <w:bCs/>
          <w:sz w:val="24"/>
        </w:rPr>
        <w:t>中证沪港</w:t>
      </w:r>
      <w:proofErr w:type="gramEnd"/>
      <w:r w:rsidR="003F26B4">
        <w:rPr>
          <w:rFonts w:ascii="宋体" w:hAnsi="宋体" w:cs="Arial" w:hint="eastAsia"/>
          <w:bCs/>
          <w:sz w:val="24"/>
        </w:rPr>
        <w:t>深</w:t>
      </w:r>
      <w:proofErr w:type="gramStart"/>
      <w:r w:rsidR="003F26B4">
        <w:rPr>
          <w:rFonts w:ascii="宋体" w:hAnsi="宋体" w:cs="Arial" w:hint="eastAsia"/>
          <w:bCs/>
          <w:sz w:val="24"/>
        </w:rPr>
        <w:t>云计算</w:t>
      </w:r>
      <w:proofErr w:type="gramEnd"/>
      <w:r w:rsidR="003F26B4">
        <w:rPr>
          <w:rFonts w:ascii="宋体" w:hAnsi="宋体" w:cs="Arial" w:hint="eastAsia"/>
          <w:bCs/>
          <w:sz w:val="24"/>
        </w:rPr>
        <w:t>产业</w:t>
      </w:r>
      <w:r w:rsidR="00411186" w:rsidRPr="00411186">
        <w:rPr>
          <w:rFonts w:ascii="宋体" w:hAnsi="宋体" w:cs="Arial" w:hint="eastAsia"/>
          <w:bCs/>
          <w:sz w:val="24"/>
        </w:rPr>
        <w:t>指数</w:t>
      </w:r>
      <w:r>
        <w:rPr>
          <w:rFonts w:ascii="宋体" w:hAnsi="宋体" w:cs="Arial"/>
          <w:bCs/>
          <w:sz w:val="24"/>
        </w:rPr>
        <w:t>。</w:t>
      </w:r>
    </w:p>
    <w:p w14:paraId="05972A64" w14:textId="77777777" w:rsidR="00C52815" w:rsidRDefault="00C52815">
      <w:pPr>
        <w:spacing w:line="360" w:lineRule="auto"/>
        <w:ind w:firstLineChars="200" w:firstLine="480"/>
        <w:rPr>
          <w:rFonts w:ascii="宋体" w:hAnsi="宋体" w:cs="Arial"/>
          <w:bCs/>
          <w:sz w:val="24"/>
        </w:rPr>
      </w:pPr>
    </w:p>
    <w:p w14:paraId="1341EC1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九、ETF联接基金</w:t>
      </w:r>
    </w:p>
    <w:p w14:paraId="630BC756"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本</w:t>
      </w:r>
      <w:proofErr w:type="gramStart"/>
      <w:r>
        <w:rPr>
          <w:rFonts w:ascii="宋体" w:hAnsi="宋体" w:cs="Arial"/>
          <w:bCs/>
          <w:sz w:val="24"/>
        </w:rPr>
        <w:t>基金基金</w:t>
      </w:r>
      <w:proofErr w:type="gramEnd"/>
      <w:r>
        <w:rPr>
          <w:rFonts w:ascii="宋体" w:hAnsi="宋体" w:cs="Arial"/>
          <w:bCs/>
          <w:sz w:val="24"/>
        </w:rPr>
        <w:t>合同生效后，基金管理人可发行并管理本基金的联接基金，该ETF联接基金将投资于本基金，与本基金跟踪同一标的指数。</w:t>
      </w:r>
    </w:p>
    <w:p w14:paraId="55EB0DED" w14:textId="77777777" w:rsidR="00C52815" w:rsidRDefault="00C52815">
      <w:pPr>
        <w:spacing w:line="360" w:lineRule="auto"/>
        <w:ind w:firstLineChars="200" w:firstLine="480"/>
        <w:rPr>
          <w:rFonts w:ascii="宋体" w:hAnsi="宋体" w:cs="Arial"/>
          <w:bCs/>
          <w:sz w:val="24"/>
        </w:rPr>
      </w:pPr>
    </w:p>
    <w:p w14:paraId="35821537" w14:textId="77777777" w:rsidR="00C52815" w:rsidRDefault="005C44F4">
      <w:pPr>
        <w:spacing w:line="360" w:lineRule="auto"/>
        <w:ind w:firstLineChars="200" w:firstLine="480"/>
        <w:rPr>
          <w:rFonts w:ascii="宋体" w:hAnsi="宋体" w:cs="Arial"/>
          <w:bCs/>
          <w:sz w:val="24"/>
        </w:rPr>
      </w:pPr>
      <w:r>
        <w:rPr>
          <w:rFonts w:ascii="宋体" w:hAnsi="宋体" w:cs="Arial" w:hint="eastAsia"/>
          <w:bCs/>
          <w:sz w:val="24"/>
        </w:rPr>
        <w:t>十、在不违反法律法规强制性规定的前提下，基金管理人可根据基金发展需要，经与基金托管人协商一致并履行相关程序后，为本基金增设基金份额类别，或开通场外申购、赎回相关业务并制定、公布相应的交易规则等，无须召开基金份额持有人大会审议。</w:t>
      </w:r>
    </w:p>
    <w:p w14:paraId="5A74A9D5" w14:textId="77777777" w:rsidR="00C52815" w:rsidRDefault="00C52815">
      <w:pPr>
        <w:spacing w:line="360" w:lineRule="auto"/>
        <w:ind w:firstLineChars="200" w:firstLine="480"/>
        <w:rPr>
          <w:rFonts w:ascii="宋体" w:hAnsi="宋体" w:cs="Arial"/>
          <w:bCs/>
          <w:sz w:val="24"/>
        </w:rPr>
      </w:pPr>
    </w:p>
    <w:p w14:paraId="48A43BD3" w14:textId="77777777" w:rsidR="00C52815" w:rsidRDefault="005C44F4">
      <w:pPr>
        <w:pStyle w:val="1"/>
        <w:spacing w:before="0" w:after="0"/>
        <w:jc w:val="center"/>
        <w:rPr>
          <w:rFonts w:hAnsi="宋体" w:cs="Arial"/>
          <w:color w:val="auto"/>
          <w:sz w:val="30"/>
        </w:rPr>
      </w:pPr>
      <w:r>
        <w:rPr>
          <w:rFonts w:hAnsi="宋体" w:cs="Arial"/>
          <w:b w:val="0"/>
          <w:bCs/>
          <w:color w:val="auto"/>
          <w:kern w:val="44"/>
          <w:sz w:val="21"/>
        </w:rPr>
        <w:br w:type="page"/>
      </w:r>
      <w:bookmarkStart w:id="86" w:name="_Toc22074"/>
      <w:bookmarkStart w:id="87" w:name="_Toc7151"/>
      <w:bookmarkStart w:id="88" w:name="_Toc6714"/>
      <w:bookmarkStart w:id="89" w:name="_Toc27189"/>
      <w:bookmarkStart w:id="90" w:name="_Toc3266"/>
      <w:bookmarkStart w:id="91" w:name="_Toc90742390"/>
      <w:bookmarkStart w:id="92" w:name="_Toc16677"/>
      <w:bookmarkStart w:id="93" w:name="_Toc29948"/>
      <w:bookmarkStart w:id="94" w:name="_Toc16265"/>
      <w:bookmarkStart w:id="95" w:name="_Toc29784"/>
      <w:bookmarkStart w:id="96" w:name="_Toc90742688"/>
      <w:bookmarkStart w:id="97" w:name="_Toc22110"/>
      <w:bookmarkStart w:id="98" w:name="_Toc940"/>
      <w:bookmarkStart w:id="99" w:name="_Toc90742321"/>
      <w:bookmarkStart w:id="100" w:name="_Toc114406670"/>
      <w:bookmarkStart w:id="101" w:name="_Toc15203"/>
      <w:bookmarkStart w:id="102" w:name="_Toc27226"/>
      <w:bookmarkStart w:id="103" w:name="_Toc24682"/>
      <w:r>
        <w:rPr>
          <w:rFonts w:hAnsi="宋体" w:cs="Arial"/>
          <w:color w:val="auto"/>
          <w:sz w:val="30"/>
        </w:rPr>
        <w:lastRenderedPageBreak/>
        <w:t>第四部分  基金份额的发售</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5F97F99F" w14:textId="77777777" w:rsidR="00C52815" w:rsidRDefault="00C52815">
      <w:pPr>
        <w:spacing w:line="360" w:lineRule="auto"/>
        <w:ind w:firstLineChars="200" w:firstLine="420"/>
        <w:rPr>
          <w:rFonts w:ascii="宋体" w:hAnsi="宋体" w:cs="Arial"/>
          <w:bCs/>
          <w:kern w:val="44"/>
        </w:rPr>
      </w:pPr>
    </w:p>
    <w:p w14:paraId="64503F2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一、基金份额的发售时间、发售方式、发售对象</w:t>
      </w:r>
    </w:p>
    <w:p w14:paraId="75936E5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1、发售时间</w:t>
      </w:r>
    </w:p>
    <w:p w14:paraId="33FD0222" w14:textId="77777777" w:rsidR="00C52815" w:rsidRDefault="005C44F4">
      <w:pPr>
        <w:spacing w:line="360" w:lineRule="auto"/>
        <w:ind w:firstLineChars="200" w:firstLine="480"/>
        <w:rPr>
          <w:rFonts w:ascii="宋体" w:hAnsi="宋体" w:cs="Arial"/>
          <w:bCs/>
        </w:rPr>
      </w:pPr>
      <w:r>
        <w:rPr>
          <w:rFonts w:ascii="宋体" w:hAnsi="宋体" w:cs="Arial"/>
          <w:bCs/>
          <w:sz w:val="24"/>
        </w:rPr>
        <w:t>自基金份额发售之日起最长不得超过3个月，具体发售时间</w:t>
      </w:r>
      <w:proofErr w:type="gramStart"/>
      <w:r>
        <w:rPr>
          <w:rFonts w:ascii="宋体" w:hAnsi="宋体" w:cs="Arial"/>
          <w:bCs/>
          <w:sz w:val="24"/>
        </w:rPr>
        <w:t>见基金</w:t>
      </w:r>
      <w:proofErr w:type="gramEnd"/>
      <w:r>
        <w:rPr>
          <w:rFonts w:ascii="宋体" w:hAnsi="宋体" w:cs="Arial"/>
          <w:bCs/>
          <w:sz w:val="24"/>
        </w:rPr>
        <w:t>份额发售公告。</w:t>
      </w:r>
    </w:p>
    <w:p w14:paraId="0C47960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2、发售方式</w:t>
      </w:r>
    </w:p>
    <w:p w14:paraId="5CC1D185" w14:textId="1FA87CF2" w:rsidR="00A72A3F" w:rsidRPr="00A72A3F" w:rsidRDefault="00A72A3F" w:rsidP="00A72A3F">
      <w:pPr>
        <w:spacing w:line="360" w:lineRule="auto"/>
        <w:ind w:firstLineChars="200" w:firstLine="480"/>
        <w:rPr>
          <w:rFonts w:ascii="宋体" w:hAnsi="宋体" w:cs="Arial"/>
          <w:bCs/>
          <w:sz w:val="24"/>
        </w:rPr>
      </w:pPr>
      <w:r w:rsidRPr="00A72A3F">
        <w:rPr>
          <w:rFonts w:ascii="宋体" w:hAnsi="宋体" w:cs="Arial" w:hint="eastAsia"/>
          <w:bCs/>
          <w:sz w:val="24"/>
        </w:rPr>
        <w:t>投资者可选择网上现金认购、网下现金认购</w:t>
      </w:r>
      <w:r w:rsidR="00A1351A">
        <w:rPr>
          <w:rFonts w:ascii="宋体" w:hAnsi="宋体" w:cs="Arial" w:hint="eastAsia"/>
          <w:bCs/>
          <w:sz w:val="24"/>
        </w:rPr>
        <w:t>和网下股票认购3</w:t>
      </w:r>
      <w:r w:rsidRPr="00A72A3F">
        <w:rPr>
          <w:rFonts w:ascii="宋体" w:hAnsi="宋体" w:cs="Arial" w:hint="eastAsia"/>
          <w:bCs/>
          <w:sz w:val="24"/>
        </w:rPr>
        <w:t>种方式认购本基金。</w:t>
      </w:r>
    </w:p>
    <w:p w14:paraId="128FBC80" w14:textId="77777777" w:rsidR="00A72A3F" w:rsidRPr="00A72A3F" w:rsidRDefault="00A72A3F" w:rsidP="00A72A3F">
      <w:pPr>
        <w:spacing w:line="360" w:lineRule="auto"/>
        <w:ind w:firstLineChars="200" w:firstLine="480"/>
        <w:rPr>
          <w:rFonts w:ascii="宋体" w:hAnsi="宋体" w:cs="Arial"/>
          <w:bCs/>
          <w:sz w:val="24"/>
        </w:rPr>
      </w:pPr>
      <w:r w:rsidRPr="00A72A3F">
        <w:rPr>
          <w:rFonts w:ascii="宋体" w:hAnsi="宋体" w:cs="Arial" w:hint="eastAsia"/>
          <w:bCs/>
          <w:sz w:val="24"/>
        </w:rPr>
        <w:t>网上现金认购是指投资者通过基金管理人指定的发售代理机构使用上海证券交易所网上系统以现金进行的认购。</w:t>
      </w:r>
    </w:p>
    <w:p w14:paraId="2F3F4488" w14:textId="77777777" w:rsidR="00A72A3F" w:rsidRPr="00A72A3F" w:rsidRDefault="00A72A3F" w:rsidP="00A72A3F">
      <w:pPr>
        <w:spacing w:line="360" w:lineRule="auto"/>
        <w:ind w:firstLineChars="200" w:firstLine="480"/>
        <w:rPr>
          <w:rFonts w:ascii="宋体" w:hAnsi="宋体" w:cs="Arial"/>
          <w:bCs/>
          <w:sz w:val="24"/>
        </w:rPr>
      </w:pPr>
      <w:r w:rsidRPr="00A72A3F">
        <w:rPr>
          <w:rFonts w:ascii="宋体" w:hAnsi="宋体" w:cs="Arial" w:hint="eastAsia"/>
          <w:bCs/>
          <w:sz w:val="24"/>
        </w:rPr>
        <w:t>网下现金认购是指投资者通过基金管理人及其指定的发售代理机构使用证券交易所网上系统以外的系统以现金进行的认购。</w:t>
      </w:r>
    </w:p>
    <w:p w14:paraId="5E9A87DC" w14:textId="77777777" w:rsidR="00A1351A" w:rsidRPr="00A1351A" w:rsidRDefault="00A1351A" w:rsidP="00A1351A">
      <w:pPr>
        <w:spacing w:line="360" w:lineRule="auto"/>
        <w:ind w:firstLineChars="200" w:firstLine="480"/>
        <w:rPr>
          <w:rFonts w:ascii="宋体" w:hAnsi="宋体" w:cs="Arial"/>
          <w:bCs/>
          <w:sz w:val="24"/>
        </w:rPr>
      </w:pPr>
      <w:r w:rsidRPr="00A1351A">
        <w:rPr>
          <w:rFonts w:ascii="宋体" w:hAnsi="宋体" w:cs="Arial" w:hint="eastAsia"/>
          <w:bCs/>
          <w:sz w:val="24"/>
        </w:rPr>
        <w:t>网下股票认购是指投资人通过基金管理人及其指定的发售代理机构以组合</w:t>
      </w:r>
      <w:r w:rsidRPr="00A1351A">
        <w:rPr>
          <w:rFonts w:ascii="宋体" w:hAnsi="宋体" w:cs="Arial"/>
          <w:bCs/>
          <w:sz w:val="24"/>
        </w:rPr>
        <w:t>证券或基金合同约定的其他对</w:t>
      </w:r>
      <w:r w:rsidRPr="00A1351A">
        <w:rPr>
          <w:rFonts w:ascii="宋体" w:hAnsi="宋体" w:cs="Arial" w:hint="eastAsia"/>
          <w:bCs/>
          <w:sz w:val="24"/>
        </w:rPr>
        <w:t>价进行的认购。</w:t>
      </w:r>
    </w:p>
    <w:p w14:paraId="09C6947C" w14:textId="6E693773" w:rsidR="00C52815" w:rsidRDefault="00A72A3F" w:rsidP="00A72A3F">
      <w:pPr>
        <w:spacing w:line="360" w:lineRule="auto"/>
        <w:ind w:firstLineChars="200" w:firstLine="480"/>
        <w:rPr>
          <w:rFonts w:ascii="宋体" w:hAnsi="宋体" w:cs="Arial"/>
          <w:bCs/>
          <w:sz w:val="24"/>
        </w:rPr>
      </w:pPr>
      <w:r w:rsidRPr="00A72A3F">
        <w:rPr>
          <w:rFonts w:ascii="宋体" w:hAnsi="宋体" w:cs="Arial" w:hint="eastAsia"/>
          <w:bCs/>
          <w:sz w:val="24"/>
        </w:rPr>
        <w:t>网上现金认购、网下现金认购</w:t>
      </w:r>
      <w:r w:rsidR="00A1351A">
        <w:rPr>
          <w:rFonts w:ascii="宋体" w:hAnsi="宋体" w:cs="Arial" w:hint="eastAsia"/>
          <w:bCs/>
          <w:sz w:val="24"/>
        </w:rPr>
        <w:t>和网下股票认购</w:t>
      </w:r>
      <w:r w:rsidRPr="00A72A3F">
        <w:rPr>
          <w:rFonts w:ascii="宋体" w:hAnsi="宋体" w:cs="Arial" w:hint="eastAsia"/>
          <w:bCs/>
          <w:sz w:val="24"/>
        </w:rPr>
        <w:t>的具体安排详见招募说明书的相关规定。</w:t>
      </w:r>
    </w:p>
    <w:p w14:paraId="223AFE2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3、发售对象</w:t>
      </w:r>
    </w:p>
    <w:p w14:paraId="4C345B2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符合法律法规规定的可投资于证券投资基金的个人投资者、机构投资者、合格境外投资者以及法律法规或中国证监会允许购买证券投资基金的其他投资人。</w:t>
      </w:r>
    </w:p>
    <w:p w14:paraId="0F9AE51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二、基金份额的认购</w:t>
      </w:r>
    </w:p>
    <w:p w14:paraId="4453034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1、认购费用</w:t>
      </w:r>
    </w:p>
    <w:p w14:paraId="3FB1EB4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本基金的认购费率由基金管理人决定，并在招募说明书、基金产品资料概要或相关公告中列示。基金认购费用不列入基金财产。</w:t>
      </w:r>
    </w:p>
    <w:p w14:paraId="279AC706" w14:textId="5777E054" w:rsidR="00C52815" w:rsidRDefault="005C44F4">
      <w:pPr>
        <w:spacing w:line="360" w:lineRule="auto"/>
        <w:ind w:firstLineChars="200" w:firstLine="480"/>
        <w:rPr>
          <w:rFonts w:ascii="宋体" w:hAnsi="宋体" w:cs="Arial"/>
          <w:bCs/>
          <w:sz w:val="24"/>
        </w:rPr>
      </w:pPr>
      <w:r>
        <w:rPr>
          <w:rFonts w:ascii="宋体" w:hAnsi="宋体" w:cs="Arial"/>
          <w:bCs/>
          <w:sz w:val="24"/>
        </w:rPr>
        <w:t>2、募集期间认购资金</w:t>
      </w:r>
      <w:r w:rsidR="00A1351A">
        <w:rPr>
          <w:rFonts w:ascii="宋体" w:hAnsi="宋体" w:cs="Arial"/>
          <w:bCs/>
          <w:sz w:val="24"/>
        </w:rPr>
        <w:t>与股票</w:t>
      </w:r>
      <w:r>
        <w:rPr>
          <w:rFonts w:ascii="宋体" w:hAnsi="宋体" w:cs="Arial"/>
          <w:bCs/>
          <w:sz w:val="24"/>
        </w:rPr>
        <w:t>的处理方式</w:t>
      </w:r>
    </w:p>
    <w:p w14:paraId="77D203AC" w14:textId="12CAE9E1" w:rsidR="00C52815" w:rsidRDefault="005C44F4">
      <w:pPr>
        <w:spacing w:line="360" w:lineRule="auto"/>
        <w:ind w:firstLineChars="200" w:firstLine="480"/>
        <w:rPr>
          <w:rFonts w:ascii="宋体" w:hAnsi="宋体" w:cs="Arial"/>
          <w:bCs/>
          <w:sz w:val="24"/>
        </w:rPr>
      </w:pPr>
      <w:r>
        <w:rPr>
          <w:rFonts w:ascii="宋体" w:hAnsi="宋体" w:cs="Arial"/>
          <w:bCs/>
          <w:sz w:val="24"/>
        </w:rPr>
        <w:t>基金募集期间募集的资金应当存入专门账户，在基金募集行为结束前，任何人不得动用</w:t>
      </w:r>
      <w:r w:rsidR="00452306">
        <w:rPr>
          <w:rFonts w:ascii="宋体" w:hAnsi="宋体" w:cs="Arial"/>
          <w:bCs/>
          <w:sz w:val="24"/>
        </w:rPr>
        <w:t>；募集的股票</w:t>
      </w:r>
      <w:r w:rsidR="00FF2CAF">
        <w:rPr>
          <w:rFonts w:ascii="宋体" w:hAnsi="宋体" w:cs="Arial"/>
          <w:bCs/>
          <w:sz w:val="24"/>
        </w:rPr>
        <w:t>将</w:t>
      </w:r>
      <w:r w:rsidR="00452306">
        <w:rPr>
          <w:rFonts w:ascii="宋体" w:hAnsi="宋体" w:cs="Arial"/>
          <w:bCs/>
          <w:sz w:val="24"/>
        </w:rPr>
        <w:t>按照相关业务</w:t>
      </w:r>
      <w:r w:rsidR="00452306">
        <w:rPr>
          <w:rFonts w:ascii="宋体" w:hAnsi="宋体" w:cs="Arial" w:hint="eastAsia"/>
          <w:bCs/>
          <w:sz w:val="24"/>
        </w:rPr>
        <w:t>规则予以冻结</w:t>
      </w:r>
      <w:r>
        <w:rPr>
          <w:rFonts w:ascii="宋体" w:hAnsi="宋体" w:cs="Arial"/>
          <w:bCs/>
          <w:sz w:val="24"/>
        </w:rPr>
        <w:t>。</w:t>
      </w:r>
    </w:p>
    <w:p w14:paraId="4EE3DD2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3、基金认购份额的计算</w:t>
      </w:r>
    </w:p>
    <w:p w14:paraId="16A85B84"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基金认购份额具体的计算方法在招募说明书中列示。</w:t>
      </w:r>
    </w:p>
    <w:p w14:paraId="53CBA6D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4、认购申请的确认</w:t>
      </w:r>
    </w:p>
    <w:p w14:paraId="46CBDE9E" w14:textId="4C8481D9" w:rsidR="00C52815" w:rsidRDefault="005C44F4">
      <w:pPr>
        <w:spacing w:line="360" w:lineRule="auto"/>
        <w:ind w:firstLineChars="200" w:firstLine="480"/>
        <w:rPr>
          <w:rFonts w:ascii="宋体" w:hAnsi="宋体" w:cs="Arial"/>
          <w:bCs/>
          <w:sz w:val="24"/>
        </w:rPr>
      </w:pPr>
      <w:r>
        <w:rPr>
          <w:rFonts w:ascii="宋体" w:hAnsi="宋体" w:cs="Arial"/>
          <w:bCs/>
          <w:sz w:val="24"/>
        </w:rPr>
        <w:t>销售机构对认购申请的受理并不代表该申请一定成功，而仅代表销售机构确实接收到认购申请。投资者按照本基金合同的约定提交认购申请并交纳认购基金份额的款项</w:t>
      </w:r>
      <w:r w:rsidR="00452306">
        <w:rPr>
          <w:rFonts w:ascii="宋体" w:hAnsi="宋体" w:cs="Arial"/>
          <w:bCs/>
          <w:sz w:val="24"/>
        </w:rPr>
        <w:t>或股票</w:t>
      </w:r>
      <w:r>
        <w:rPr>
          <w:rFonts w:ascii="宋体" w:hAnsi="宋体" w:cs="Arial"/>
          <w:bCs/>
          <w:sz w:val="24"/>
        </w:rPr>
        <w:t>时，基金合同成立；基金管理人按照规定办理完毕基金募集的备案手续，基金合同生效。认购的确认以登记结算机构的确认结果以及基金合同生效为准。对于认购申请及认购份额的确认情况，投资者应及时查询。</w:t>
      </w:r>
    </w:p>
    <w:p w14:paraId="162837C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投资者具体的认购原则、认购时间安排、投资者认购应提交的文件和办理的手续等事项，由基金管理人根据相关法律法规以及本基金合同的规定确定，并在招募说明书、基金份额发售公告或其他相关公告中披露。</w:t>
      </w:r>
    </w:p>
    <w:p w14:paraId="1FF19C9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三、基金份额认购的限制</w:t>
      </w:r>
    </w:p>
    <w:p w14:paraId="13116D5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基金管理人可以对投资者的认购金额或数额进行限制，具体限制和处理方法请参看招募说明书或相关公告。</w:t>
      </w:r>
    </w:p>
    <w:p w14:paraId="1E9CF262" w14:textId="77777777" w:rsidR="00C52815" w:rsidRDefault="005C44F4">
      <w:pPr>
        <w:pStyle w:val="1"/>
        <w:spacing w:before="0" w:after="0"/>
        <w:jc w:val="center"/>
        <w:rPr>
          <w:rFonts w:hAnsi="宋体" w:cs="Arial"/>
          <w:color w:val="auto"/>
          <w:sz w:val="30"/>
        </w:rPr>
      </w:pPr>
      <w:r>
        <w:rPr>
          <w:rFonts w:hAnsi="宋体" w:cs="Arial"/>
          <w:b w:val="0"/>
          <w:bCs/>
          <w:color w:val="auto"/>
          <w:kern w:val="44"/>
          <w:sz w:val="21"/>
        </w:rPr>
        <w:br w:type="page"/>
      </w:r>
      <w:bookmarkStart w:id="104" w:name="_Toc1823"/>
      <w:bookmarkStart w:id="105" w:name="_Toc4741"/>
      <w:bookmarkStart w:id="106" w:name="_Toc26986"/>
      <w:bookmarkStart w:id="107" w:name="_Toc139991735"/>
      <w:bookmarkStart w:id="108" w:name="_Toc14893"/>
      <w:bookmarkStart w:id="109" w:name="_Toc18797"/>
      <w:bookmarkStart w:id="110" w:name="_Toc141703885"/>
      <w:bookmarkStart w:id="111" w:name="_Toc6559"/>
      <w:bookmarkStart w:id="112" w:name="_Toc6542"/>
      <w:bookmarkStart w:id="113" w:name="_Toc18526"/>
      <w:bookmarkStart w:id="114" w:name="_Toc17912"/>
      <w:bookmarkStart w:id="115" w:name="_Toc7498"/>
      <w:bookmarkStart w:id="116" w:name="_Toc114406671"/>
      <w:bookmarkStart w:id="117" w:name="_Toc7848"/>
      <w:bookmarkStart w:id="118" w:name="_Toc23546"/>
      <w:bookmarkStart w:id="119" w:name="_Toc18329"/>
      <w:bookmarkStart w:id="120" w:name="_Toc21988"/>
      <w:r>
        <w:rPr>
          <w:rFonts w:hAnsi="宋体" w:cs="Arial"/>
          <w:color w:val="auto"/>
          <w:sz w:val="30"/>
        </w:rPr>
        <w:lastRenderedPageBreak/>
        <w:t>第五部分  基金备案</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060B6788" w14:textId="77777777" w:rsidR="00C52815" w:rsidRDefault="00C52815">
      <w:pPr>
        <w:spacing w:line="360" w:lineRule="auto"/>
        <w:ind w:firstLine="540"/>
        <w:rPr>
          <w:rFonts w:ascii="宋体" w:hAnsi="宋体" w:cs="Arial"/>
          <w:bCs/>
          <w:sz w:val="24"/>
        </w:rPr>
      </w:pPr>
    </w:p>
    <w:p w14:paraId="7E8F7C4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一、基金备案的条件</w:t>
      </w:r>
    </w:p>
    <w:p w14:paraId="619FD8FB" w14:textId="6E2B64F9" w:rsidR="00C52815" w:rsidRDefault="005C44F4">
      <w:pPr>
        <w:spacing w:line="360" w:lineRule="auto"/>
        <w:ind w:firstLineChars="200" w:firstLine="480"/>
        <w:rPr>
          <w:rFonts w:ascii="宋体" w:hAnsi="宋体" w:cs="Arial"/>
          <w:bCs/>
          <w:sz w:val="24"/>
        </w:rPr>
      </w:pPr>
      <w:r>
        <w:rPr>
          <w:rFonts w:ascii="宋体" w:hAnsi="宋体" w:cs="Arial"/>
          <w:bCs/>
          <w:sz w:val="24"/>
        </w:rPr>
        <w:t>本基金自基金份额发售之日起3个月内，在基金募集份额总额不少于2亿份，基金募集金额</w:t>
      </w:r>
      <w:r w:rsidR="00452306">
        <w:rPr>
          <w:rFonts w:hint="eastAsia"/>
          <w:bCs/>
          <w:sz w:val="24"/>
        </w:rPr>
        <w:t>（含网下股票认购所募集的股票市值）</w:t>
      </w:r>
      <w:r>
        <w:rPr>
          <w:rFonts w:ascii="宋体" w:hAnsi="宋体" w:cs="Arial"/>
          <w:bCs/>
          <w:sz w:val="24"/>
        </w:rPr>
        <w:t>不少于2亿元人民币</w:t>
      </w:r>
      <w:proofErr w:type="gramStart"/>
      <w:r>
        <w:rPr>
          <w:rFonts w:ascii="宋体" w:hAnsi="宋体" w:cs="Arial"/>
          <w:bCs/>
          <w:sz w:val="24"/>
        </w:rPr>
        <w:t>且基金</w:t>
      </w:r>
      <w:proofErr w:type="gramEnd"/>
      <w:r>
        <w:rPr>
          <w:rFonts w:ascii="宋体" w:hAnsi="宋体" w:cs="Arial"/>
          <w:bCs/>
          <w:sz w:val="24"/>
        </w:rPr>
        <w:t>份额有效认购人数不少于200人的条件下，基金募集期届满或基金管理人依据法律法规及招募说明书可以决定停止基金发售，并在募集结束之日起10日内聘请法定验资机构验资，自收到验资报告之日起10日内，向中国证监会办理基金备案手续。</w:t>
      </w:r>
    </w:p>
    <w:p w14:paraId="4C53F4B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w:t>
      </w:r>
    </w:p>
    <w:p w14:paraId="0B07E18D" w14:textId="77777777" w:rsidR="00A90CF1" w:rsidRDefault="00A90CF1" w:rsidP="00A90CF1">
      <w:pPr>
        <w:spacing w:line="360" w:lineRule="auto"/>
        <w:ind w:firstLineChars="200" w:firstLine="480"/>
        <w:rPr>
          <w:rFonts w:ascii="宋体" w:hAnsi="宋体" w:cs="Arial"/>
          <w:bCs/>
          <w:sz w:val="24"/>
        </w:rPr>
      </w:pPr>
      <w:r w:rsidRPr="002626C4">
        <w:rPr>
          <w:rFonts w:ascii="宋体" w:hAnsi="宋体" w:cs="Arial" w:hint="eastAsia"/>
          <w:bCs/>
          <w:sz w:val="24"/>
        </w:rPr>
        <w:t>基金管理人应将基金募集期间募集的资金存入专门账户，在基金募集行为结束前，任何人不得动用。网下股票认购所募集的股票由登记机构予以冻结。募集期利息的处理方式和冻结期间的股票权益及</w:t>
      </w:r>
      <w:proofErr w:type="gramStart"/>
      <w:r w:rsidRPr="002626C4">
        <w:rPr>
          <w:rFonts w:ascii="宋体" w:hAnsi="宋体" w:cs="Arial" w:hint="eastAsia"/>
          <w:bCs/>
          <w:sz w:val="24"/>
        </w:rPr>
        <w:t>孳</w:t>
      </w:r>
      <w:proofErr w:type="gramEnd"/>
      <w:r w:rsidRPr="002626C4">
        <w:rPr>
          <w:rFonts w:ascii="宋体" w:hAnsi="宋体" w:cs="Arial" w:hint="eastAsia"/>
          <w:bCs/>
          <w:sz w:val="24"/>
        </w:rPr>
        <w:t>息归属按照相关业务规则处理。</w:t>
      </w:r>
    </w:p>
    <w:p w14:paraId="6B941646" w14:textId="4DF32DF5" w:rsidR="00C52815" w:rsidRDefault="005C44F4">
      <w:pPr>
        <w:spacing w:line="360" w:lineRule="auto"/>
        <w:ind w:firstLineChars="200" w:firstLine="480"/>
        <w:rPr>
          <w:rFonts w:ascii="宋体" w:hAnsi="宋体" w:cs="Arial"/>
          <w:bCs/>
          <w:sz w:val="24"/>
        </w:rPr>
      </w:pPr>
      <w:r>
        <w:rPr>
          <w:rFonts w:ascii="宋体" w:hAnsi="宋体" w:cs="Arial"/>
          <w:bCs/>
          <w:sz w:val="24"/>
        </w:rPr>
        <w:t>二、基金合同不能生效时募集资金</w:t>
      </w:r>
      <w:r w:rsidR="00452306">
        <w:rPr>
          <w:rFonts w:ascii="宋体" w:hAnsi="宋体" w:cs="Arial"/>
          <w:bCs/>
          <w:sz w:val="24"/>
        </w:rPr>
        <w:t>和股票</w:t>
      </w:r>
      <w:r>
        <w:rPr>
          <w:rFonts w:ascii="宋体" w:hAnsi="宋体" w:cs="Arial"/>
          <w:bCs/>
          <w:sz w:val="24"/>
        </w:rPr>
        <w:t>的处理方式</w:t>
      </w:r>
    </w:p>
    <w:p w14:paraId="2B276621" w14:textId="77777777" w:rsidR="00C52815" w:rsidRDefault="005C44F4">
      <w:pPr>
        <w:spacing w:line="360" w:lineRule="auto"/>
        <w:ind w:firstLine="480"/>
        <w:rPr>
          <w:rFonts w:ascii="宋体" w:hAnsi="宋体" w:cs="Arial"/>
          <w:bCs/>
          <w:sz w:val="24"/>
        </w:rPr>
      </w:pPr>
      <w:r>
        <w:rPr>
          <w:rFonts w:ascii="宋体" w:hAnsi="宋体" w:cs="Arial"/>
          <w:bCs/>
          <w:sz w:val="24"/>
        </w:rPr>
        <w:t>如果募集期限届满，未满足基金备案条件，基金管理人应当承担下列责任：</w:t>
      </w:r>
    </w:p>
    <w:p w14:paraId="2185CCA4" w14:textId="77777777" w:rsidR="00C52815" w:rsidRDefault="005C44F4">
      <w:pPr>
        <w:spacing w:line="360" w:lineRule="auto"/>
        <w:ind w:firstLine="480"/>
        <w:rPr>
          <w:rFonts w:ascii="宋体" w:hAnsi="宋体" w:cs="Arial"/>
          <w:bCs/>
          <w:sz w:val="24"/>
        </w:rPr>
      </w:pPr>
      <w:r>
        <w:rPr>
          <w:rFonts w:ascii="宋体" w:hAnsi="宋体" w:cs="Arial"/>
          <w:bCs/>
          <w:sz w:val="24"/>
        </w:rPr>
        <w:t>1、以其固有财产承担因募集行为而产生的债务和费用；</w:t>
      </w:r>
    </w:p>
    <w:p w14:paraId="25088273" w14:textId="076CD693" w:rsidR="00C52815" w:rsidRDefault="005C44F4">
      <w:pPr>
        <w:spacing w:line="360" w:lineRule="auto"/>
        <w:ind w:firstLineChars="200" w:firstLine="480"/>
        <w:rPr>
          <w:rFonts w:ascii="宋体" w:hAnsi="宋体" w:cs="Arial"/>
          <w:bCs/>
          <w:sz w:val="24"/>
        </w:rPr>
      </w:pPr>
      <w:r>
        <w:rPr>
          <w:rFonts w:ascii="宋体" w:hAnsi="宋体" w:cs="Arial"/>
          <w:bCs/>
          <w:sz w:val="24"/>
        </w:rPr>
        <w:t>2、针对投资人以现金</w:t>
      </w:r>
      <w:r w:rsidR="00452306">
        <w:rPr>
          <w:rFonts w:ascii="宋体" w:hAnsi="宋体" w:cs="Arial" w:hint="eastAsia"/>
          <w:bCs/>
          <w:sz w:val="24"/>
        </w:rPr>
        <w:t>交纳</w:t>
      </w:r>
      <w:r>
        <w:rPr>
          <w:rFonts w:ascii="宋体" w:hAnsi="宋体" w:cs="Arial"/>
          <w:bCs/>
          <w:sz w:val="24"/>
        </w:rPr>
        <w:t>的认购资金，在基金募集期限届满后30日内返还投资者已</w:t>
      </w:r>
      <w:r w:rsidR="00452306">
        <w:rPr>
          <w:rFonts w:ascii="宋体" w:hAnsi="宋体" w:cs="Arial" w:hint="eastAsia"/>
          <w:bCs/>
          <w:sz w:val="24"/>
        </w:rPr>
        <w:t>交纳</w:t>
      </w:r>
      <w:r>
        <w:rPr>
          <w:rFonts w:ascii="宋体" w:hAnsi="宋体" w:cs="Arial"/>
          <w:bCs/>
          <w:sz w:val="24"/>
        </w:rPr>
        <w:t>的款项并加计银行同期活期存款利息</w:t>
      </w:r>
      <w:r w:rsidR="00452306">
        <w:rPr>
          <w:rFonts w:hint="eastAsia"/>
          <w:bCs/>
          <w:sz w:val="24"/>
        </w:rPr>
        <w:t>；已冻结的股票应根据交易所及登记机构相关规则予以解冻并退还投资人</w:t>
      </w:r>
      <w:r>
        <w:rPr>
          <w:rFonts w:ascii="宋体" w:hAnsi="宋体" w:cs="Arial"/>
          <w:bCs/>
          <w:sz w:val="24"/>
        </w:rPr>
        <w:t>。</w:t>
      </w:r>
    </w:p>
    <w:p w14:paraId="52814B9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如基金募集失败，基金管理人、基金托管人及销售机构不得请求报酬。基金管理人、基金托管人和销售机构为基金募集支付之一切费用应由各方各自承担。</w:t>
      </w:r>
    </w:p>
    <w:p w14:paraId="453CF90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三、基金存续期内的基金份额持有人数量和资产规模</w:t>
      </w:r>
    </w:p>
    <w:p w14:paraId="4F2B5FD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基金合同生效后，连续20个工作日出现基金份额持有人数量不满200人或者基金资产净值低于5000万元情形的，基金管理人应当在定期报告中予以披露；</w:t>
      </w:r>
      <w:r>
        <w:rPr>
          <w:rFonts w:ascii="宋体" w:hAnsi="宋体" w:cs="Arial"/>
          <w:bCs/>
          <w:sz w:val="24"/>
        </w:rPr>
        <w:lastRenderedPageBreak/>
        <w:t>连续60个工作日出现前述情形的，基金管理人应当在10个工作日内向中国证监会报告并提出解决方案，如持续运作、转换运作方式、与其他基金合并或者终止基金合同等，并于6个月内召集基金份额持有人大会进行表决。</w:t>
      </w:r>
    </w:p>
    <w:p w14:paraId="4E084EB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法律法规或中国证监会另有规定时，从其规定。</w:t>
      </w:r>
    </w:p>
    <w:p w14:paraId="2FC172C4" w14:textId="77777777" w:rsidR="00C52815" w:rsidRDefault="005C44F4">
      <w:pPr>
        <w:pStyle w:val="1"/>
        <w:spacing w:before="0" w:after="0"/>
        <w:jc w:val="center"/>
        <w:rPr>
          <w:rFonts w:hAnsi="宋体" w:cs="Arial"/>
          <w:color w:val="auto"/>
          <w:sz w:val="30"/>
        </w:rPr>
      </w:pPr>
      <w:r>
        <w:rPr>
          <w:rFonts w:hAnsi="宋体" w:cs="Arial"/>
          <w:b w:val="0"/>
          <w:bCs/>
          <w:color w:val="auto"/>
          <w:kern w:val="44"/>
          <w:sz w:val="21"/>
        </w:rPr>
        <w:br w:type="page"/>
      </w:r>
      <w:bookmarkStart w:id="121" w:name="_Toc22430"/>
      <w:bookmarkStart w:id="122" w:name="_Toc25976"/>
      <w:bookmarkStart w:id="123" w:name="_Toc19367"/>
      <w:bookmarkStart w:id="124" w:name="_Toc114406672"/>
      <w:bookmarkStart w:id="125" w:name="_Toc17244"/>
      <w:bookmarkStart w:id="126" w:name="_Toc23822"/>
      <w:bookmarkStart w:id="127" w:name="_Toc610"/>
      <w:bookmarkStart w:id="128" w:name="_Toc7920"/>
      <w:bookmarkStart w:id="129" w:name="_Toc1270"/>
      <w:bookmarkStart w:id="130" w:name="_Toc20733"/>
      <w:bookmarkStart w:id="131" w:name="_Toc123102453"/>
      <w:bookmarkStart w:id="132" w:name="_Toc141703886"/>
      <w:bookmarkStart w:id="133" w:name="_Toc11081"/>
      <w:bookmarkStart w:id="134" w:name="_Toc48649707"/>
      <w:bookmarkStart w:id="135" w:name="_Toc10463"/>
      <w:bookmarkStart w:id="136" w:name="_Toc23261"/>
      <w:bookmarkStart w:id="137" w:name="_Toc79392606"/>
      <w:bookmarkStart w:id="138" w:name="_Toc4003"/>
      <w:bookmarkStart w:id="139" w:name="_Toc139991736"/>
      <w:bookmarkStart w:id="140" w:name="_Toc123051452"/>
      <w:bookmarkStart w:id="141" w:name="_Toc123112234"/>
      <w:bookmarkStart w:id="142" w:name="_Toc98560352"/>
      <w:bookmarkStart w:id="143" w:name="_Toc1427"/>
      <w:r>
        <w:rPr>
          <w:rFonts w:hAnsi="宋体" w:cs="Arial"/>
          <w:color w:val="auto"/>
          <w:sz w:val="30"/>
        </w:rPr>
        <w:lastRenderedPageBreak/>
        <w:t>第六部分  基金份额的上市交易</w:t>
      </w:r>
      <w:bookmarkEnd w:id="121"/>
      <w:bookmarkEnd w:id="122"/>
      <w:bookmarkEnd w:id="123"/>
      <w:bookmarkEnd w:id="124"/>
    </w:p>
    <w:p w14:paraId="2B5C9555" w14:textId="77777777" w:rsidR="00C52815" w:rsidRDefault="00C52815">
      <w:pPr>
        <w:widowControl/>
        <w:jc w:val="left"/>
        <w:rPr>
          <w:rFonts w:ascii="宋体" w:hAnsi="宋体" w:cs="Arial"/>
          <w:bCs/>
          <w:kern w:val="44"/>
        </w:rPr>
      </w:pPr>
    </w:p>
    <w:p w14:paraId="19D9A65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一、基金份额的上市</w:t>
      </w:r>
    </w:p>
    <w:p w14:paraId="4DCEFD8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基金合同生效后，本基金具备下列条件的，基金管理人可依据《上海证券交易所证券投资基金上市规则》，向上海证券交易所申请基金份额上市：</w:t>
      </w:r>
    </w:p>
    <w:p w14:paraId="18E0ADB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1、本基金场内资产净值不少于2亿元；</w:t>
      </w:r>
    </w:p>
    <w:p w14:paraId="7E74E32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2、本基金场内份额持有人不少于1000人；</w:t>
      </w:r>
    </w:p>
    <w:p w14:paraId="653B264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3、符合法律法规及上海证券交易所规定的其他条件。</w:t>
      </w:r>
      <w:r>
        <w:rPr>
          <w:rFonts w:ascii="宋体" w:hAnsi="宋体" w:cs="Arial"/>
          <w:color w:val="0D0D0D"/>
          <w:kern w:val="0"/>
          <w:sz w:val="24"/>
          <w:szCs w:val="24"/>
        </w:rPr>
        <w:t xml:space="preserve"> </w:t>
      </w:r>
    </w:p>
    <w:p w14:paraId="2939882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二、基金份额的上市交易</w:t>
      </w:r>
    </w:p>
    <w:p w14:paraId="1F28354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基金份额在上海证券交易所的上市交易需遵照《上海证券交易所交易规则》、《上海证券交易所证券投资基金上市规则》、《上海证券交易所交易型开放式指数基金业务实施细则》等有关规定。</w:t>
      </w:r>
    </w:p>
    <w:p w14:paraId="648FBB3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在确定上市交易的时间后，基金管理人应依据法律法规规定在规定媒介上刊登基金份额上市交易公告书。</w:t>
      </w:r>
    </w:p>
    <w:p w14:paraId="11BEC17E" w14:textId="77777777" w:rsidR="00A35B85" w:rsidRDefault="00A35B85">
      <w:pPr>
        <w:spacing w:line="360" w:lineRule="auto"/>
        <w:ind w:firstLineChars="200" w:firstLine="480"/>
        <w:rPr>
          <w:rFonts w:ascii="宋体" w:hAnsi="宋体" w:cs="Arial"/>
          <w:bCs/>
          <w:sz w:val="24"/>
        </w:rPr>
      </w:pPr>
      <w:r w:rsidRPr="00A35B85">
        <w:rPr>
          <w:rFonts w:ascii="宋体" w:hAnsi="宋体" w:cs="Arial" w:hint="eastAsia"/>
          <w:bCs/>
          <w:sz w:val="24"/>
        </w:rPr>
        <w:t>三、基金份额参考净值（IOPV）的计算与公告详见本基金招募说明书</w:t>
      </w:r>
    </w:p>
    <w:p w14:paraId="7F70E6D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四、基金份额的终止上市交易</w:t>
      </w:r>
    </w:p>
    <w:p w14:paraId="2955775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基金份额上市交易后，有下列情形之一的，上海证券交易所可终止基金份额的上市交易，并报中国证监会备案：</w:t>
      </w:r>
    </w:p>
    <w:p w14:paraId="4ED104E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1、不再具备本部分第一条规定的上市条件；</w:t>
      </w:r>
    </w:p>
    <w:p w14:paraId="43B6BF4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2、基金合同终止；</w:t>
      </w:r>
    </w:p>
    <w:p w14:paraId="54D4F60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3、基金份额持有人大会决定终止上市；</w:t>
      </w:r>
    </w:p>
    <w:p w14:paraId="08F0938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4、基金合同约定的终止上市的其他情形；</w:t>
      </w:r>
    </w:p>
    <w:p w14:paraId="1058D2C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5、上海证券交易所认为应当终止上市的其他情形。</w:t>
      </w:r>
    </w:p>
    <w:p w14:paraId="3A9BC8C2" w14:textId="4BAFFD44" w:rsidR="00C52815" w:rsidRDefault="005C44F4">
      <w:pPr>
        <w:spacing w:line="360" w:lineRule="auto"/>
        <w:ind w:firstLineChars="200" w:firstLine="480"/>
        <w:rPr>
          <w:rFonts w:ascii="宋体" w:hAnsi="宋体" w:cs="Arial"/>
          <w:bCs/>
          <w:sz w:val="24"/>
        </w:rPr>
      </w:pPr>
      <w:r>
        <w:rPr>
          <w:rFonts w:ascii="宋体" w:hAnsi="宋体" w:cs="Arial"/>
          <w:bCs/>
          <w:sz w:val="24"/>
        </w:rPr>
        <w:t>若因上述1、3、4、5项原因使本基金不再具备上市条件而被上海证券交易所终止上市的，本基金将由交易型开放式基金变更为跟踪标的指数的非上市开放式指数基金，且因上述1、4、5项之一情形终止上市的，本基金变更为跟踪标的指数的非上市开放式指数基金无需召开基金份额持有人大会。届时，基金管理人可变更本基金的登记结算机构并相应调整申购赎回业务规则，同时，基金管理人可按照《信息披露办法》的规定，公告变更后的基金合同及招募说明</w:t>
      </w:r>
      <w:r>
        <w:rPr>
          <w:rFonts w:ascii="宋体" w:hAnsi="宋体" w:cs="Arial"/>
          <w:bCs/>
          <w:sz w:val="24"/>
        </w:rPr>
        <w:lastRenderedPageBreak/>
        <w:t>书。</w:t>
      </w:r>
      <w:r>
        <w:rPr>
          <w:rFonts w:ascii="宋体" w:hAnsi="宋体" w:cs="Arial" w:hint="eastAsia"/>
          <w:bCs/>
          <w:sz w:val="24"/>
        </w:rPr>
        <w:t>若届时本基金管理人已有以该指数作为标的指数的指数基金，</w:t>
      </w:r>
      <w:proofErr w:type="gramStart"/>
      <w:r>
        <w:rPr>
          <w:rFonts w:ascii="宋体" w:hAnsi="宋体" w:cs="Arial" w:hint="eastAsia"/>
          <w:bCs/>
          <w:sz w:val="24"/>
        </w:rPr>
        <w:t>则基金</w:t>
      </w:r>
      <w:proofErr w:type="gramEnd"/>
      <w:r>
        <w:rPr>
          <w:rFonts w:ascii="宋体" w:hAnsi="宋体" w:cs="Arial" w:hint="eastAsia"/>
          <w:bCs/>
          <w:sz w:val="24"/>
        </w:rPr>
        <w:t>管理人将本着维护基金份额持有人合法权益的原则，将本基金与该指数基金合并而无需召开基金份额持有人大会。</w:t>
      </w:r>
    </w:p>
    <w:p w14:paraId="05717C7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五、在不违反法律法规强制性规定并履行适当程序的前提下，本基金可以申请在其他证券交易所（含境外证券交易所）上市交易，而无需召开基金份额持有人大会审议。</w:t>
      </w:r>
    </w:p>
    <w:p w14:paraId="6DC1A23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六、法律法规、监管部门和上海证券交易所对上市交易另有规定的，从其规定。</w:t>
      </w:r>
    </w:p>
    <w:p w14:paraId="3879443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七、若上海证券交易所、中国证券登记结算有限责任公司增加了基金上市交易的新功能，基金管理人可以在履行适当的程序后增加相应功能，无需召开基金份额持有人大会审议。</w:t>
      </w:r>
    </w:p>
    <w:p w14:paraId="1F3BC8C8" w14:textId="77777777" w:rsidR="00C52815" w:rsidRDefault="00C52815">
      <w:pPr>
        <w:spacing w:line="360" w:lineRule="auto"/>
        <w:ind w:firstLineChars="200" w:firstLine="602"/>
        <w:rPr>
          <w:rFonts w:ascii="宋体" w:hAnsi="宋体" w:cs="Arial"/>
          <w:b/>
          <w:kern w:val="0"/>
          <w:sz w:val="30"/>
        </w:rPr>
      </w:pPr>
    </w:p>
    <w:p w14:paraId="5392545B" w14:textId="77777777" w:rsidR="00C52815" w:rsidRDefault="005C44F4">
      <w:pPr>
        <w:pStyle w:val="1"/>
        <w:spacing w:before="0" w:after="0"/>
        <w:jc w:val="center"/>
        <w:rPr>
          <w:rFonts w:hAnsi="宋体" w:cs="Arial"/>
          <w:color w:val="auto"/>
          <w:sz w:val="30"/>
        </w:rPr>
      </w:pPr>
      <w:r>
        <w:rPr>
          <w:rFonts w:hAnsi="宋体" w:cs="Arial"/>
          <w:color w:val="auto"/>
          <w:sz w:val="30"/>
        </w:rPr>
        <w:br w:type="page"/>
      </w:r>
      <w:bookmarkStart w:id="144" w:name="_Toc637"/>
      <w:bookmarkStart w:id="145" w:name="_Toc24395"/>
      <w:bookmarkStart w:id="146" w:name="_Toc114406673"/>
      <w:bookmarkStart w:id="147" w:name="_Toc10321"/>
      <w:r>
        <w:rPr>
          <w:rFonts w:hAnsi="宋体" w:cs="Arial"/>
          <w:color w:val="auto"/>
          <w:sz w:val="30"/>
        </w:rPr>
        <w:lastRenderedPageBreak/>
        <w:t>第七部分  基金份额的申购与赎回</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2FBB0DA3" w14:textId="77777777" w:rsidR="00C52815" w:rsidRDefault="00C52815">
      <w:pPr>
        <w:spacing w:line="360" w:lineRule="auto"/>
        <w:ind w:firstLine="540"/>
        <w:rPr>
          <w:rFonts w:ascii="宋体" w:hAnsi="宋体" w:cs="Arial"/>
          <w:bCs/>
          <w:sz w:val="24"/>
        </w:rPr>
      </w:pPr>
    </w:p>
    <w:p w14:paraId="3606F33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一、申购和赎回场所</w:t>
      </w:r>
    </w:p>
    <w:p w14:paraId="43AE60D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投资者应当在申购赎回代理券商办理基金申购、赎回业务的营业场所或按申购赎回代理券商提供的其他方式办理基金的申购和赎回业务。</w:t>
      </w:r>
    </w:p>
    <w:p w14:paraId="13C73291" w14:textId="77777777" w:rsidR="00C52815" w:rsidRDefault="005C44F4">
      <w:pPr>
        <w:spacing w:line="360" w:lineRule="auto"/>
        <w:ind w:firstLineChars="200" w:firstLine="480"/>
        <w:rPr>
          <w:rFonts w:ascii="宋体" w:hAnsi="宋体" w:cs="Arial"/>
          <w:sz w:val="24"/>
        </w:rPr>
      </w:pPr>
      <w:r>
        <w:rPr>
          <w:rFonts w:ascii="宋体" w:hAnsi="宋体" w:cs="Arial"/>
          <w:bCs/>
          <w:sz w:val="24"/>
        </w:rPr>
        <w:t>基金管理人在开始办理申购、赎回业务前公告申购赎回代理券商的名单，并可依据实际情况增加或减少申购赎回代理券商，并在基金管理人网站公示。</w:t>
      </w:r>
    </w:p>
    <w:p w14:paraId="5BEB993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二、申购和赎回的开放日及时间</w:t>
      </w:r>
    </w:p>
    <w:p w14:paraId="7861200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1、开放日及开放时间</w:t>
      </w:r>
    </w:p>
    <w:p w14:paraId="411698F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投资人在开放日办理基金份额的申购和赎回，</w:t>
      </w:r>
      <w:r>
        <w:rPr>
          <w:rFonts w:ascii="宋体" w:hAnsi="宋体" w:cs="Arial" w:hint="eastAsia"/>
          <w:bCs/>
          <w:sz w:val="24"/>
        </w:rPr>
        <w:t>若该日为非港股</w:t>
      </w:r>
      <w:proofErr w:type="gramStart"/>
      <w:r>
        <w:rPr>
          <w:rFonts w:ascii="宋体" w:hAnsi="宋体" w:cs="Arial" w:hint="eastAsia"/>
          <w:bCs/>
          <w:sz w:val="24"/>
        </w:rPr>
        <w:t>通交易</w:t>
      </w:r>
      <w:proofErr w:type="gramEnd"/>
      <w:r>
        <w:rPr>
          <w:rFonts w:ascii="宋体" w:hAnsi="宋体" w:cs="Arial" w:hint="eastAsia"/>
          <w:bCs/>
          <w:sz w:val="24"/>
        </w:rPr>
        <w:t>日，</w:t>
      </w:r>
      <w:proofErr w:type="gramStart"/>
      <w:r>
        <w:rPr>
          <w:rFonts w:ascii="宋体" w:hAnsi="宋体" w:cs="Arial" w:hint="eastAsia"/>
          <w:bCs/>
          <w:sz w:val="24"/>
        </w:rPr>
        <w:t>则基金</w:t>
      </w:r>
      <w:proofErr w:type="gramEnd"/>
      <w:r>
        <w:rPr>
          <w:rFonts w:ascii="宋体" w:hAnsi="宋体" w:cs="Arial" w:hint="eastAsia"/>
          <w:bCs/>
          <w:sz w:val="24"/>
        </w:rPr>
        <w:t>管理人不开放基金份额申购、赎回或其他业务，</w:t>
      </w:r>
      <w:r>
        <w:rPr>
          <w:rFonts w:ascii="宋体" w:hAnsi="宋体" w:cs="Arial"/>
          <w:bCs/>
          <w:sz w:val="24"/>
        </w:rPr>
        <w:t>具体办理时间为证券交易所的正常交易日的交易时间，但基金管理人根据法律法规、中国证监会的要求或本基金合同的规定公告暂停申购、赎回时除外。</w:t>
      </w:r>
    </w:p>
    <w:p w14:paraId="1AF70F4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14:paraId="1311DE9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2、申购、赎回开始日及业务办理时间</w:t>
      </w:r>
    </w:p>
    <w:p w14:paraId="2F9487B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基金合同生效后，基金管理人在满足监管要求的情况下，根据本基金运作的需要决定本基金开始办理申购的具体日期，具体业务办理时间在申购开始公告中规定。</w:t>
      </w:r>
    </w:p>
    <w:p w14:paraId="7026666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基金合同生效后，基金管理人在满足监管要求的情况下，根据本基金运作的需要决定本基金开始办理赎回的具体日期，具体业务办理时间在赎回开始公告中规定。</w:t>
      </w:r>
    </w:p>
    <w:p w14:paraId="0C33FDE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本基金可在基金上市交易之前开始办理申购、赎回，在基金申请上市期间，可暂停办理申购、赎回；具体申购、赎回业务办理时间在申购、赎回开始公告中规定。</w:t>
      </w:r>
    </w:p>
    <w:p w14:paraId="41A0311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在确定申购开始与赎回开始时间后，基金管理人应在开始办理申购、赎回前依照《信息披露办法》的有关规定在规定媒介上公告申购与赎回的开始时间。</w:t>
      </w:r>
    </w:p>
    <w:p w14:paraId="39889666" w14:textId="77777777" w:rsidR="00C52815" w:rsidRDefault="005C44F4">
      <w:pPr>
        <w:spacing w:line="360" w:lineRule="auto"/>
        <w:ind w:firstLineChars="200" w:firstLine="480"/>
        <w:rPr>
          <w:rFonts w:ascii="宋体" w:hAnsi="宋体" w:cs="Arial"/>
          <w:bCs/>
        </w:rPr>
      </w:pPr>
      <w:r>
        <w:rPr>
          <w:rFonts w:ascii="宋体" w:hAnsi="宋体" w:cs="Arial"/>
          <w:bCs/>
          <w:sz w:val="24"/>
        </w:rPr>
        <w:t>基金管理人不得在基金合同约定之外的日期或者时间办理基金份额的申购、</w:t>
      </w:r>
      <w:r>
        <w:rPr>
          <w:rFonts w:ascii="宋体" w:hAnsi="宋体" w:cs="Arial"/>
          <w:bCs/>
          <w:sz w:val="24"/>
        </w:rPr>
        <w:lastRenderedPageBreak/>
        <w:t>赎回。投资人在基金合同约定之外的日期和时间提出申购、赎回申请的，登记结算机构有权拒绝，如登记结算机构接收的，视为投资人在下一开放日提出的申购、赎回申请，并按照下一开放日的申请处理。</w:t>
      </w:r>
    </w:p>
    <w:p w14:paraId="47FEACB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三、申购与赎回的原则</w:t>
      </w:r>
    </w:p>
    <w:p w14:paraId="10356E6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1、基金采用份额申购和份额赎回的方式，即申购和赎回均以份额申请。</w:t>
      </w:r>
    </w:p>
    <w:p w14:paraId="6CDA4C66" w14:textId="5D304CC4" w:rsidR="00C52815" w:rsidRDefault="005C44F4">
      <w:pPr>
        <w:spacing w:line="360" w:lineRule="auto"/>
        <w:ind w:firstLineChars="200" w:firstLine="480"/>
        <w:rPr>
          <w:rFonts w:ascii="宋体" w:hAnsi="宋体" w:cs="Arial"/>
          <w:bCs/>
          <w:sz w:val="24"/>
        </w:rPr>
      </w:pPr>
      <w:r>
        <w:rPr>
          <w:rFonts w:ascii="宋体" w:hAnsi="宋体" w:cs="Arial"/>
          <w:bCs/>
          <w:sz w:val="24"/>
        </w:rPr>
        <w:t>2、基金的申购对价、赎回对价包括</w:t>
      </w:r>
      <w:r w:rsidR="00DA1337">
        <w:rPr>
          <w:rFonts w:ascii="宋体" w:hAnsi="宋体" w:cs="Arial"/>
          <w:bCs/>
          <w:sz w:val="24"/>
        </w:rPr>
        <w:t>组合证券、</w:t>
      </w:r>
      <w:r>
        <w:rPr>
          <w:rFonts w:ascii="宋体" w:hAnsi="宋体" w:cs="Arial"/>
          <w:bCs/>
          <w:sz w:val="24"/>
        </w:rPr>
        <w:t>现金替代、现金差额及其他对价。</w:t>
      </w:r>
    </w:p>
    <w:p w14:paraId="0DB1C81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3、申购、赎回申请提交后不得撤销。</w:t>
      </w:r>
    </w:p>
    <w:p w14:paraId="7856B91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4、申购、赎回应遵守业务规则的规定。</w:t>
      </w:r>
    </w:p>
    <w:p w14:paraId="32081FF8" w14:textId="77777777" w:rsidR="00C52815" w:rsidRDefault="005C44F4">
      <w:pPr>
        <w:spacing w:line="360" w:lineRule="auto"/>
        <w:ind w:firstLineChars="200" w:firstLine="480"/>
        <w:rPr>
          <w:rFonts w:ascii="宋体" w:hAnsi="宋体" w:cs="Arial"/>
          <w:sz w:val="24"/>
        </w:rPr>
      </w:pPr>
      <w:r>
        <w:rPr>
          <w:rFonts w:ascii="宋体" w:hAnsi="宋体" w:cs="Arial"/>
          <w:bCs/>
          <w:sz w:val="24"/>
        </w:rPr>
        <w:t>5、</w:t>
      </w:r>
      <w:r>
        <w:rPr>
          <w:rFonts w:ascii="宋体" w:hAnsi="宋体" w:cs="Arial"/>
          <w:sz w:val="24"/>
        </w:rPr>
        <w:t>办理申购、赎回业务时，应当遵循基金份额持有人利益优先原则，确保投资者的合法权益不受损害并得到公平对待。</w:t>
      </w:r>
    </w:p>
    <w:p w14:paraId="7CBF3AF1" w14:textId="77777777" w:rsidR="00C52815" w:rsidRDefault="005C44F4">
      <w:pPr>
        <w:spacing w:line="360" w:lineRule="auto"/>
        <w:ind w:firstLineChars="200" w:firstLine="480"/>
        <w:rPr>
          <w:rFonts w:ascii="宋体" w:hAnsi="宋体" w:cs="Arial"/>
          <w:bCs/>
        </w:rPr>
      </w:pPr>
      <w:r>
        <w:rPr>
          <w:rFonts w:ascii="宋体" w:hAnsi="宋体" w:cs="Arial"/>
          <w:bCs/>
          <w:sz w:val="24"/>
        </w:rPr>
        <w:t>基金管理人可在不违反法律法规强制性规定的前提下，或依据上海证券交易所或登记结算机构相关规则及其变更调整，对上述原则进行调整。基金管理人必须在新规则开始实施前依照《信息披露办法》的有关规定在规定媒介上公告。</w:t>
      </w:r>
    </w:p>
    <w:p w14:paraId="4F45253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四、申购与赎回的程序</w:t>
      </w:r>
    </w:p>
    <w:p w14:paraId="2AB0832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1、申购和赎回的申请方式</w:t>
      </w:r>
    </w:p>
    <w:p w14:paraId="50A4F59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投资人必须根据申购赎回代理券商或基金管理人规定的程序，在开放日的具体业务办理时间内提出申购或赎回的申请。</w:t>
      </w:r>
    </w:p>
    <w:p w14:paraId="636D998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投资人在提交申购申请时须按申购赎回清单的规定备足申购对价，投资人在提交赎回申请时须持有足够的基金份额余额和现金，否则所提交的申购、赎回申请无效。</w:t>
      </w:r>
    </w:p>
    <w:p w14:paraId="7EA8F3A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2、申购和赎回申请的确认</w:t>
      </w:r>
    </w:p>
    <w:p w14:paraId="3297BB9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投资者申购、赎回申请在受理当日进行确认。如投资者未能提供符合要求的申购对价，则申购申请失败。如投资者持有的符合要求的基金份额不足或未能根据要求准备足额的现金，或基金投资组合内不具备足额的符合要求的赎回对价，则赎回申请失败。</w:t>
      </w:r>
    </w:p>
    <w:p w14:paraId="0205323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3、申购和赎回的清算交收与登记</w:t>
      </w:r>
    </w:p>
    <w:p w14:paraId="1C63C943" w14:textId="4DE1A219" w:rsidR="00C52815" w:rsidRDefault="005C44F4">
      <w:pPr>
        <w:spacing w:line="360" w:lineRule="auto"/>
        <w:ind w:firstLineChars="200" w:firstLine="480"/>
        <w:rPr>
          <w:rFonts w:ascii="宋体" w:hAnsi="宋体" w:cs="Arial"/>
          <w:bCs/>
          <w:sz w:val="24"/>
        </w:rPr>
      </w:pPr>
      <w:r>
        <w:rPr>
          <w:rFonts w:ascii="宋体" w:hAnsi="宋体" w:cs="Arial"/>
          <w:bCs/>
          <w:sz w:val="24"/>
        </w:rPr>
        <w:t>本基金申购赎回过程中涉及的基金份额、</w:t>
      </w:r>
      <w:r w:rsidR="00DA1337">
        <w:rPr>
          <w:rFonts w:ascii="宋体" w:hAnsi="宋体" w:cs="Arial"/>
          <w:bCs/>
          <w:sz w:val="24"/>
        </w:rPr>
        <w:t>组合证券、</w:t>
      </w:r>
      <w:r>
        <w:rPr>
          <w:rFonts w:ascii="宋体" w:hAnsi="宋体" w:cs="Arial"/>
          <w:bCs/>
          <w:sz w:val="24"/>
        </w:rPr>
        <w:t>现金替代、现金差额</w:t>
      </w:r>
      <w:r>
        <w:rPr>
          <w:rFonts w:ascii="宋体" w:hAnsi="宋体" w:cs="Arial"/>
          <w:bCs/>
          <w:sz w:val="24"/>
        </w:rPr>
        <w:lastRenderedPageBreak/>
        <w:t>及其他对价的清算交收适用相关业务规则和参与各方相关协议及其不时修订的有关规定，详见本基金招募说明书及其更新。</w:t>
      </w:r>
    </w:p>
    <w:p w14:paraId="3B2CD70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如果登记结算机构和基金管理人在清算交收时发现不能正常履约的情形，则依据业务规则和参与各方相关协议及其不时修订的有关规定进行处理。</w:t>
      </w:r>
    </w:p>
    <w:p w14:paraId="4242D1A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上海证券交易所、登记结算机构可在法律法规允许的范围内，对基金份额申购赎回的程序以及清算交收和登记的办理时间、方式、处理规则等进行调整，基金管理人应最迟于开始实施前依照《信息披露办法》的有关规定在规定媒介上公告。</w:t>
      </w:r>
    </w:p>
    <w:p w14:paraId="1872F6C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五、申购和赎回的数量限制</w:t>
      </w:r>
    </w:p>
    <w:p w14:paraId="0D70E4D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1、投资人申购、赎回的基金份额需为最小申购赎回单位的整数</w:t>
      </w:r>
      <w:proofErr w:type="gramStart"/>
      <w:r>
        <w:rPr>
          <w:rFonts w:ascii="宋体" w:hAnsi="宋体" w:cs="Arial"/>
          <w:bCs/>
          <w:sz w:val="24"/>
        </w:rPr>
        <w:t>倍</w:t>
      </w:r>
      <w:proofErr w:type="gramEnd"/>
      <w:r>
        <w:rPr>
          <w:rFonts w:ascii="宋体" w:hAnsi="宋体" w:cs="Arial"/>
          <w:bCs/>
          <w:sz w:val="24"/>
        </w:rPr>
        <w:t>。基金管理人可根据基金运作情况、市场变化以及投资者需求等因素，对基金的最小申购赎回单位进行调整并提前公告。具体规定请参见招募说明书或相关公告。</w:t>
      </w:r>
    </w:p>
    <w:p w14:paraId="3F08C63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2、当接受申购申请对存量基金份额持有人利益构成潜在重大不利影响时，基金管理人应当采取设定单一投资者申购份额上限、拒绝大额申购、暂停基金申购等措施，切实保护存量基金份额持有人的合法权益。</w:t>
      </w:r>
      <w:r>
        <w:rPr>
          <w:rFonts w:ascii="宋体" w:hAnsi="宋体" w:cs="Arial"/>
          <w:sz w:val="24"/>
        </w:rPr>
        <w:t>基金管理人基于投资运作与风险控制的需要，可采取上述措施对基金规模予以控制。具体</w:t>
      </w:r>
      <w:proofErr w:type="gramStart"/>
      <w:r>
        <w:rPr>
          <w:rFonts w:ascii="宋体" w:hAnsi="宋体" w:cs="Arial"/>
          <w:sz w:val="24"/>
        </w:rPr>
        <w:t>见基金</w:t>
      </w:r>
      <w:proofErr w:type="gramEnd"/>
      <w:r>
        <w:rPr>
          <w:rFonts w:ascii="宋体" w:hAnsi="宋体" w:cs="Arial"/>
          <w:sz w:val="24"/>
        </w:rPr>
        <w:t>管理人</w:t>
      </w:r>
      <w:r>
        <w:rPr>
          <w:rFonts w:ascii="宋体" w:hAnsi="宋体" w:cs="Arial"/>
          <w:bCs/>
          <w:sz w:val="24"/>
        </w:rPr>
        <w:t>相关公告。</w:t>
      </w:r>
    </w:p>
    <w:p w14:paraId="4EA8A38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管理人可以根据市场情况、市场变化以及投资者需求等因素，在不违反法律法规强制性规定的情况下，调整申购和赎回的数量或比例限制。基金管理人必须在调整前依照《信息披露办法》的有关规定在规定媒介上公告。</w:t>
      </w:r>
    </w:p>
    <w:p w14:paraId="3695C4A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六、申购和赎回的对价、费用及其用途</w:t>
      </w:r>
    </w:p>
    <w:p w14:paraId="2AA57835" w14:textId="3B2AFB21" w:rsidR="00C52815" w:rsidRDefault="005C44F4">
      <w:pPr>
        <w:spacing w:line="360" w:lineRule="auto"/>
        <w:ind w:firstLineChars="200" w:firstLine="480"/>
        <w:rPr>
          <w:rFonts w:ascii="宋体" w:hAnsi="宋体" w:cs="Arial"/>
          <w:bCs/>
          <w:sz w:val="24"/>
        </w:rPr>
      </w:pPr>
      <w:r>
        <w:rPr>
          <w:rFonts w:ascii="宋体" w:hAnsi="宋体" w:cs="Arial"/>
          <w:bCs/>
          <w:sz w:val="24"/>
        </w:rPr>
        <w:t>1、申购对价是指投资者申购基金份额时应交付的</w:t>
      </w:r>
      <w:r w:rsidR="00DA1337">
        <w:rPr>
          <w:rFonts w:ascii="宋体" w:hAnsi="宋体" w:cs="Arial"/>
          <w:bCs/>
          <w:sz w:val="24"/>
        </w:rPr>
        <w:t>组合证券、</w:t>
      </w:r>
      <w:r>
        <w:rPr>
          <w:rFonts w:ascii="宋体" w:hAnsi="宋体" w:cs="Arial"/>
          <w:bCs/>
          <w:sz w:val="24"/>
        </w:rPr>
        <w:t>现金替代、现金差额及其他对价。赎回对价是指基金份额持有人赎回基金份额时，基金管理人应交付的</w:t>
      </w:r>
      <w:r w:rsidR="00DA1337">
        <w:rPr>
          <w:rFonts w:ascii="宋体" w:hAnsi="宋体" w:cs="Arial"/>
          <w:bCs/>
          <w:sz w:val="24"/>
        </w:rPr>
        <w:t>组合证券、</w:t>
      </w:r>
      <w:r>
        <w:rPr>
          <w:rFonts w:ascii="宋体" w:hAnsi="宋体" w:cs="Arial"/>
          <w:bCs/>
          <w:sz w:val="24"/>
        </w:rPr>
        <w:t>现金替代、现金差额及其他对价。申购对价、赎回对</w:t>
      </w:r>
      <w:proofErr w:type="gramStart"/>
      <w:r>
        <w:rPr>
          <w:rFonts w:ascii="宋体" w:hAnsi="宋体" w:cs="Arial"/>
          <w:bCs/>
          <w:sz w:val="24"/>
        </w:rPr>
        <w:t>价根据</w:t>
      </w:r>
      <w:proofErr w:type="gramEnd"/>
      <w:r>
        <w:rPr>
          <w:rFonts w:ascii="宋体" w:hAnsi="宋体" w:cs="Arial"/>
          <w:bCs/>
          <w:sz w:val="24"/>
        </w:rPr>
        <w:t>申购赎回清单和投资者申购、赎回的基金份额数额确定。</w:t>
      </w:r>
    </w:p>
    <w:p w14:paraId="29015EA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2、投资者在申购或赎回基金份额时，申购赎回代理券商可按照一定标准收取佣金，其中包含证券交易所、登记结算机构等收取的相关费用，具体请参见招募说明书。</w:t>
      </w:r>
    </w:p>
    <w:p w14:paraId="3499C906" w14:textId="77777777" w:rsidR="00C52815" w:rsidRDefault="005C44F4">
      <w:pPr>
        <w:spacing w:line="360" w:lineRule="auto"/>
        <w:ind w:firstLine="420"/>
        <w:rPr>
          <w:rFonts w:ascii="宋体" w:hAnsi="宋体" w:cs="Arial"/>
          <w:bCs/>
          <w:sz w:val="24"/>
        </w:rPr>
      </w:pPr>
      <w:r>
        <w:rPr>
          <w:rFonts w:ascii="宋体" w:hAnsi="宋体" w:cs="Arial"/>
          <w:bCs/>
          <w:sz w:val="24"/>
        </w:rPr>
        <w:t>3、本</w:t>
      </w:r>
      <w:proofErr w:type="gramStart"/>
      <w:r>
        <w:rPr>
          <w:rFonts w:ascii="宋体" w:hAnsi="宋体" w:cs="Arial"/>
          <w:bCs/>
          <w:sz w:val="24"/>
        </w:rPr>
        <w:t>基金基金</w:t>
      </w:r>
      <w:proofErr w:type="gramEnd"/>
      <w:r>
        <w:rPr>
          <w:rFonts w:ascii="宋体" w:hAnsi="宋体" w:cs="Arial"/>
          <w:bCs/>
          <w:sz w:val="24"/>
        </w:rPr>
        <w:t>份额净值的计算，保留到小数点后4位，小数点后第5位四</w:t>
      </w:r>
      <w:r>
        <w:rPr>
          <w:rFonts w:ascii="宋体" w:hAnsi="宋体" w:cs="Arial"/>
          <w:bCs/>
          <w:sz w:val="24"/>
        </w:rPr>
        <w:lastRenderedPageBreak/>
        <w:t>舍五入，由此产生的收益或损失由基金财产承担。T日的基金份额净值在当日收市后计算，并在T+1日内公告。遇特殊情况，</w:t>
      </w:r>
      <w:r>
        <w:rPr>
          <w:rFonts w:ascii="宋体" w:hAnsi="宋体" w:cs="Arial"/>
          <w:sz w:val="24"/>
        </w:rPr>
        <w:t>经履行适当程序</w:t>
      </w:r>
      <w:r>
        <w:rPr>
          <w:rFonts w:ascii="宋体" w:hAnsi="宋体" w:cs="Arial"/>
          <w:bCs/>
          <w:sz w:val="24"/>
        </w:rPr>
        <w:t>，可以适当延迟计算或公告。申购赎回清单由基金管理人编制。T日的申购赎回清单在当日上海证券交易所开市前公告。未来，若市场情况发生变化，或相关业务规则发生变化，基金管理人可以在不违反相关法律法规的情况下对基金份额净值、申购赎回清单的计算和公告时间进行调整并提前公告。</w:t>
      </w:r>
    </w:p>
    <w:p w14:paraId="0AC1AB2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七、拒绝或暂停申购的情形</w:t>
      </w:r>
    </w:p>
    <w:p w14:paraId="42D06F1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发生下列情况之一时，基金管理人可拒绝或暂停接受投资人的申购申请：</w:t>
      </w:r>
    </w:p>
    <w:p w14:paraId="51433A8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1、因不可抗力导致基金无法正常运作或无法受理投资人的申购申请。</w:t>
      </w:r>
    </w:p>
    <w:p w14:paraId="1B28E6BF" w14:textId="77777777" w:rsidR="00C52815" w:rsidRDefault="005C44F4">
      <w:pPr>
        <w:spacing w:line="360" w:lineRule="auto"/>
        <w:ind w:firstLineChars="200" w:firstLine="480"/>
        <w:rPr>
          <w:rFonts w:ascii="宋体" w:hAnsi="宋体" w:cs="Arial"/>
          <w:sz w:val="24"/>
        </w:rPr>
      </w:pPr>
      <w:r>
        <w:rPr>
          <w:rFonts w:ascii="宋体" w:hAnsi="宋体" w:cs="Arial"/>
          <w:sz w:val="24"/>
        </w:rPr>
        <w:t>2、发生基金合同规定的暂停基金资产估值情况。</w:t>
      </w:r>
    </w:p>
    <w:p w14:paraId="0B28EC7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3、因特殊原因（包括但不限于相关证券、期货交易所</w:t>
      </w:r>
      <w:r>
        <w:rPr>
          <w:rFonts w:ascii="宋体" w:hAnsi="宋体" w:cs="Arial" w:hint="eastAsia"/>
          <w:bCs/>
          <w:sz w:val="24"/>
        </w:rPr>
        <w:t>或外汇市场</w:t>
      </w:r>
      <w:r>
        <w:rPr>
          <w:rFonts w:ascii="宋体" w:hAnsi="宋体" w:cs="Arial"/>
          <w:bCs/>
          <w:sz w:val="24"/>
        </w:rPr>
        <w:t>依法决定临时停市或在交易时间非正常停市），导致基金管理人无法计算当日基金资产净值。</w:t>
      </w:r>
    </w:p>
    <w:p w14:paraId="3C04DBE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 xml:space="preserve">4、基金管理人开市前因异常情况无法公布申购赎回清单，或基金管理人在开市后发现申购赎回清单编制错误或基金份额参考净值计算错误。 </w:t>
      </w:r>
    </w:p>
    <w:p w14:paraId="21756073" w14:textId="476576CE" w:rsidR="00C52815" w:rsidRDefault="005C44F4">
      <w:pPr>
        <w:spacing w:line="360" w:lineRule="auto"/>
        <w:ind w:firstLineChars="200" w:firstLine="480"/>
        <w:rPr>
          <w:rFonts w:ascii="宋体" w:hAnsi="宋体" w:cs="Arial"/>
          <w:bCs/>
          <w:sz w:val="24"/>
        </w:rPr>
      </w:pPr>
      <w:r>
        <w:rPr>
          <w:rFonts w:ascii="宋体" w:hAnsi="宋体" w:cs="Arial"/>
          <w:bCs/>
          <w:sz w:val="24"/>
        </w:rPr>
        <w:t>5、相关证券、期货交易所、申购赎回代理券商、登记结算机构等因异常情况无法办理申购，或者指数编制机构、相关证券、期货交易所等因异常情况使申购赎回清单无法编制或编制不当。</w:t>
      </w:r>
    </w:p>
    <w:p w14:paraId="2F01D759" w14:textId="77777777" w:rsidR="00C52815" w:rsidRDefault="005C44F4">
      <w:pPr>
        <w:spacing w:line="360" w:lineRule="auto"/>
        <w:ind w:firstLineChars="200" w:firstLine="480"/>
        <w:rPr>
          <w:rFonts w:ascii="宋体" w:hAnsi="宋体" w:cs="Arial"/>
          <w:bCs/>
          <w:sz w:val="24"/>
        </w:rPr>
      </w:pPr>
      <w:bookmarkStart w:id="148" w:name="_Hlt70481650"/>
      <w:bookmarkEnd w:id="148"/>
      <w:r>
        <w:rPr>
          <w:rFonts w:ascii="宋体" w:hAnsi="宋体" w:cs="Arial"/>
          <w:bCs/>
          <w:sz w:val="24"/>
        </w:rPr>
        <w:t>6、接受某笔或某些申购申请可能会影响或损害现有基金份额持有人利益时。</w:t>
      </w:r>
    </w:p>
    <w:p w14:paraId="74AF345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7、基金资产规模过大，使基金管理人无法找到合适的投资品种，或其他可能对基金业绩产生负面影响，或发生其他损害现有基金份额持有人利益的情形。</w:t>
      </w:r>
    </w:p>
    <w:p w14:paraId="0076F01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8、基金管理人、基金托管人、销售机构、登记结算机构、支付结算机构等因异常情况导致基金销售系统、基金注册登记系统、基金会计系统等无法正常运行。</w:t>
      </w:r>
    </w:p>
    <w:p w14:paraId="6DE5E5D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9、基金管理人可根据市场情况在申购赎回清单中设置申购上限，当一笔新的申购申请被确认成功，会使本基金当日申购超过申购赎回清单中规定的申购上限时，该笔申购申请将被拒绝。</w:t>
      </w:r>
    </w:p>
    <w:p w14:paraId="27AF657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10、当前一估值日基金资产净值50%以上的资产出现无可参考的活跃市场价格且采用估值技术</w:t>
      </w:r>
      <w:proofErr w:type="gramStart"/>
      <w:r>
        <w:rPr>
          <w:rFonts w:ascii="宋体" w:hAnsi="宋体" w:cs="Arial"/>
          <w:bCs/>
          <w:sz w:val="24"/>
        </w:rPr>
        <w:t>仍导致</w:t>
      </w:r>
      <w:proofErr w:type="gramEnd"/>
      <w:r>
        <w:rPr>
          <w:rFonts w:ascii="宋体" w:hAnsi="宋体" w:cs="Arial"/>
          <w:bCs/>
          <w:sz w:val="24"/>
        </w:rPr>
        <w:t>公允价值存在重大不确定性时，经与基金托管人协</w:t>
      </w:r>
      <w:r>
        <w:rPr>
          <w:rFonts w:ascii="宋体" w:hAnsi="宋体" w:cs="Arial"/>
          <w:bCs/>
          <w:sz w:val="24"/>
        </w:rPr>
        <w:lastRenderedPageBreak/>
        <w:t>商确认后，基金管理人应当暂停接受基金申购申请。</w:t>
      </w:r>
    </w:p>
    <w:p w14:paraId="0ED53F8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11、</w:t>
      </w:r>
      <w:r>
        <w:rPr>
          <w:rFonts w:ascii="宋体" w:hAnsi="宋体" w:cs="Arial" w:hint="eastAsia"/>
          <w:bCs/>
          <w:sz w:val="24"/>
        </w:rPr>
        <w:t>因港股</w:t>
      </w:r>
      <w:proofErr w:type="gramStart"/>
      <w:r>
        <w:rPr>
          <w:rFonts w:ascii="宋体" w:hAnsi="宋体" w:cs="Arial" w:hint="eastAsia"/>
          <w:bCs/>
          <w:sz w:val="24"/>
        </w:rPr>
        <w:t>通交易</w:t>
      </w:r>
      <w:proofErr w:type="gramEnd"/>
      <w:r>
        <w:rPr>
          <w:rFonts w:ascii="宋体" w:hAnsi="宋体" w:cs="Arial" w:hint="eastAsia"/>
          <w:bCs/>
          <w:sz w:val="24"/>
        </w:rPr>
        <w:t>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25F22290" w14:textId="20655BAB" w:rsidR="00C52815" w:rsidRDefault="005C44F4" w:rsidP="009E6EDB">
      <w:pPr>
        <w:spacing w:line="360" w:lineRule="auto"/>
        <w:ind w:firstLineChars="200" w:firstLine="480"/>
        <w:rPr>
          <w:rFonts w:ascii="宋体" w:hAnsi="宋体" w:cs="Arial"/>
          <w:bCs/>
          <w:sz w:val="24"/>
        </w:rPr>
      </w:pPr>
      <w:r>
        <w:rPr>
          <w:rFonts w:ascii="宋体" w:hAnsi="宋体" w:cs="Arial" w:hint="eastAsia"/>
          <w:bCs/>
          <w:sz w:val="24"/>
        </w:rPr>
        <w:t>1</w:t>
      </w:r>
      <w:r>
        <w:rPr>
          <w:rFonts w:ascii="宋体" w:hAnsi="宋体" w:cs="Arial"/>
          <w:bCs/>
          <w:sz w:val="24"/>
        </w:rPr>
        <w:t>2</w:t>
      </w:r>
      <w:r>
        <w:rPr>
          <w:rFonts w:ascii="宋体" w:hAnsi="宋体" w:cs="Arial" w:hint="eastAsia"/>
          <w:bCs/>
          <w:sz w:val="24"/>
        </w:rPr>
        <w:t>、</w:t>
      </w:r>
      <w:r>
        <w:rPr>
          <w:rFonts w:ascii="宋体" w:hAnsi="宋体" w:cs="Arial"/>
          <w:bCs/>
          <w:sz w:val="24"/>
        </w:rPr>
        <w:t>法律法规</w:t>
      </w:r>
      <w:r w:rsidR="00141C51" w:rsidRPr="00141C51">
        <w:rPr>
          <w:rFonts w:ascii="宋体" w:hAnsi="宋体" w:cs="Arial" w:hint="eastAsia"/>
          <w:bCs/>
          <w:sz w:val="24"/>
        </w:rPr>
        <w:t>、交易规则</w:t>
      </w:r>
      <w:r>
        <w:rPr>
          <w:rFonts w:ascii="宋体" w:hAnsi="宋体" w:cs="Arial"/>
          <w:bCs/>
          <w:sz w:val="24"/>
        </w:rPr>
        <w:t>规定或</w:t>
      </w:r>
      <w:r w:rsidR="009F7A7A" w:rsidRPr="00141C51">
        <w:rPr>
          <w:rFonts w:ascii="宋体" w:hAnsi="宋体" w:cs="Arial" w:hint="eastAsia"/>
          <w:bCs/>
          <w:sz w:val="24"/>
        </w:rPr>
        <w:t>上海证券交易所、</w:t>
      </w:r>
      <w:r>
        <w:rPr>
          <w:rFonts w:ascii="宋体" w:hAnsi="宋体" w:cs="Arial"/>
          <w:bCs/>
          <w:sz w:val="24"/>
        </w:rPr>
        <w:t>中国证监会认定的其他情形。</w:t>
      </w:r>
    </w:p>
    <w:p w14:paraId="5524BAF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上述异常情况指基金管理人无法预见并不可控制的情形，包括但不限于系统故障、网络故障、通讯故障、电力故障、数据错误等。</w:t>
      </w:r>
    </w:p>
    <w:p w14:paraId="7D25689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发生上述情形之一（第6、9项除外）</w:t>
      </w:r>
      <w:proofErr w:type="gramStart"/>
      <w:r>
        <w:rPr>
          <w:rFonts w:ascii="宋体" w:hAnsi="宋体" w:cs="Arial"/>
          <w:bCs/>
          <w:sz w:val="24"/>
        </w:rPr>
        <w:t>且基金</w:t>
      </w:r>
      <w:proofErr w:type="gramEnd"/>
      <w:r>
        <w:rPr>
          <w:rFonts w:ascii="宋体" w:hAnsi="宋体" w:cs="Arial"/>
          <w:bCs/>
          <w:sz w:val="24"/>
        </w:rPr>
        <w:t>管理人决定拒绝或暂停接受基金投资者的申购申请时，基金管理人应根据《信息披露办法》的有关规定在规定媒介上刊登暂停申购公告。在拒绝或暂停申购申请的情形消除时，基金管理人应及时恢复申购业务的办理并依照《信息披露办法》有关规定在规定媒介上刊登基金恢复申购业务的公告，并公告最近1个开放日的基金份额净值。</w:t>
      </w:r>
    </w:p>
    <w:p w14:paraId="1F2AB1B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 xml:space="preserve">八、暂停赎回或延缓支付赎回对价的情形 </w:t>
      </w:r>
    </w:p>
    <w:p w14:paraId="43F178C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 xml:space="preserve">发生下列情形之一时，基金管理人可暂停接受投资人的赎回申请或延缓支付赎回对价： </w:t>
      </w:r>
    </w:p>
    <w:p w14:paraId="21B2367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1、因不可抗力导致基金无法正常运作或无法受理投资人的赎回申请。</w:t>
      </w:r>
    </w:p>
    <w:p w14:paraId="4CE04F7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2、发生基金合同规定的暂停基金资产估值情况。</w:t>
      </w:r>
    </w:p>
    <w:p w14:paraId="5A24D370" w14:textId="7EE913C9" w:rsidR="00C52815" w:rsidRDefault="005C44F4" w:rsidP="00D375AF">
      <w:pPr>
        <w:spacing w:line="360" w:lineRule="auto"/>
        <w:ind w:firstLineChars="200" w:firstLine="480"/>
        <w:rPr>
          <w:rFonts w:ascii="宋体" w:hAnsi="宋体" w:cs="Arial"/>
          <w:bCs/>
          <w:sz w:val="24"/>
        </w:rPr>
      </w:pPr>
      <w:r>
        <w:rPr>
          <w:rFonts w:ascii="宋体" w:hAnsi="宋体" w:cs="Arial"/>
          <w:bCs/>
          <w:sz w:val="24"/>
        </w:rPr>
        <w:t>3、因特殊原因（包括但不限于相关证券、期货交易所</w:t>
      </w:r>
      <w:r>
        <w:rPr>
          <w:rFonts w:ascii="宋体" w:hAnsi="宋体" w:cs="Arial" w:hint="eastAsia"/>
          <w:bCs/>
          <w:sz w:val="24"/>
        </w:rPr>
        <w:t>或外汇市场</w:t>
      </w:r>
      <w:r>
        <w:rPr>
          <w:rFonts w:ascii="宋体" w:hAnsi="宋体" w:cs="Arial"/>
          <w:bCs/>
          <w:sz w:val="24"/>
        </w:rPr>
        <w:t xml:space="preserve">依法决定临时停市或在交易时间非正常停市），导致基金管理人无法计算当日基金资产净值。 </w:t>
      </w:r>
    </w:p>
    <w:p w14:paraId="51D06433" w14:textId="4EA8F73C" w:rsidR="00C52815" w:rsidRDefault="00D375AF">
      <w:pPr>
        <w:spacing w:line="360" w:lineRule="auto"/>
        <w:ind w:firstLineChars="200" w:firstLine="480"/>
        <w:rPr>
          <w:rFonts w:ascii="宋体" w:hAnsi="宋体" w:cs="Arial"/>
          <w:bCs/>
          <w:sz w:val="24"/>
        </w:rPr>
      </w:pPr>
      <w:r>
        <w:rPr>
          <w:rFonts w:ascii="宋体" w:hAnsi="宋体" w:cs="Arial"/>
          <w:bCs/>
          <w:sz w:val="24"/>
        </w:rPr>
        <w:t>4</w:t>
      </w:r>
      <w:r w:rsidR="005C44F4">
        <w:rPr>
          <w:rFonts w:ascii="宋体" w:hAnsi="宋体" w:cs="Arial"/>
          <w:bCs/>
          <w:sz w:val="24"/>
        </w:rPr>
        <w:t>、</w:t>
      </w:r>
      <w:r w:rsidR="005C44F4">
        <w:rPr>
          <w:rFonts w:ascii="宋体" w:hAnsi="宋体" w:cs="Arial" w:hint="eastAsia"/>
          <w:bCs/>
          <w:sz w:val="24"/>
        </w:rPr>
        <w:t>接受某笔或某些赎回申请可能会影响或损害现有基金份额持有人利益时。</w:t>
      </w:r>
    </w:p>
    <w:p w14:paraId="42A0E3AD" w14:textId="4321A452" w:rsidR="00C52815" w:rsidRDefault="00D375AF">
      <w:pPr>
        <w:spacing w:line="360" w:lineRule="auto"/>
        <w:ind w:firstLineChars="200" w:firstLine="480"/>
        <w:rPr>
          <w:rFonts w:ascii="宋体" w:hAnsi="宋体" w:cs="Arial"/>
          <w:bCs/>
          <w:sz w:val="24"/>
        </w:rPr>
      </w:pPr>
      <w:r>
        <w:rPr>
          <w:rFonts w:ascii="宋体" w:hAnsi="宋体" w:cs="Arial"/>
          <w:bCs/>
          <w:sz w:val="24"/>
        </w:rPr>
        <w:t>5</w:t>
      </w:r>
      <w:r w:rsidR="005C44F4">
        <w:rPr>
          <w:rFonts w:ascii="宋体" w:hAnsi="宋体" w:cs="Arial" w:hint="eastAsia"/>
          <w:bCs/>
          <w:sz w:val="24"/>
        </w:rPr>
        <w:t>、</w:t>
      </w:r>
      <w:r w:rsidR="005C44F4">
        <w:rPr>
          <w:rFonts w:ascii="宋体" w:hAnsi="宋体" w:cs="Arial"/>
          <w:bCs/>
          <w:sz w:val="24"/>
        </w:rPr>
        <w:t>发生继续接受赎回申请将损害现有基金份额持有人利益的情形。</w:t>
      </w:r>
    </w:p>
    <w:p w14:paraId="314B33F2" w14:textId="7CA9AA5D" w:rsidR="00C52815" w:rsidRDefault="00D375AF">
      <w:pPr>
        <w:spacing w:line="360" w:lineRule="auto"/>
        <w:ind w:firstLineChars="200" w:firstLine="480"/>
        <w:rPr>
          <w:rFonts w:ascii="宋体" w:hAnsi="宋体" w:cs="Arial"/>
          <w:bCs/>
          <w:sz w:val="24"/>
        </w:rPr>
      </w:pPr>
      <w:r>
        <w:rPr>
          <w:rFonts w:ascii="宋体" w:hAnsi="宋体" w:cs="Arial"/>
          <w:bCs/>
          <w:sz w:val="24"/>
        </w:rPr>
        <w:t>6</w:t>
      </w:r>
      <w:r w:rsidR="005C44F4">
        <w:rPr>
          <w:rFonts w:ascii="宋体" w:hAnsi="宋体" w:cs="Arial"/>
          <w:bCs/>
          <w:sz w:val="24"/>
        </w:rPr>
        <w:t>、基金管理人可根据市场情况在申购赎回清单中设置赎回份额上限，当一笔新的赎回申请被确认成功，会使本基金当日赎回份额超过申购赎回清单中规定的赎回份额上限时，该笔赎回申请将被拒绝。</w:t>
      </w:r>
    </w:p>
    <w:p w14:paraId="2D14AB6C" w14:textId="13F9A40E" w:rsidR="00C52815" w:rsidRDefault="00D375AF">
      <w:pPr>
        <w:spacing w:line="360" w:lineRule="auto"/>
        <w:ind w:firstLineChars="200" w:firstLine="480"/>
        <w:rPr>
          <w:rFonts w:ascii="宋体" w:hAnsi="宋体" w:cs="Arial"/>
          <w:bCs/>
          <w:sz w:val="24"/>
        </w:rPr>
      </w:pPr>
      <w:r>
        <w:rPr>
          <w:rFonts w:ascii="宋体" w:hAnsi="宋体" w:cs="Arial"/>
          <w:bCs/>
          <w:sz w:val="24"/>
        </w:rPr>
        <w:t>7</w:t>
      </w:r>
      <w:r w:rsidR="005C44F4">
        <w:rPr>
          <w:rFonts w:ascii="宋体" w:hAnsi="宋体" w:cs="Arial"/>
          <w:bCs/>
          <w:sz w:val="24"/>
        </w:rPr>
        <w:t>、当前一估值日基金资产净值50%以上的资产出现无可参考的活跃市场价格且采用估值技术</w:t>
      </w:r>
      <w:proofErr w:type="gramStart"/>
      <w:r w:rsidR="005C44F4">
        <w:rPr>
          <w:rFonts w:ascii="宋体" w:hAnsi="宋体" w:cs="Arial"/>
          <w:bCs/>
          <w:sz w:val="24"/>
        </w:rPr>
        <w:t>仍导致</w:t>
      </w:r>
      <w:proofErr w:type="gramEnd"/>
      <w:r w:rsidR="005C44F4">
        <w:rPr>
          <w:rFonts w:ascii="宋体" w:hAnsi="宋体" w:cs="Arial"/>
          <w:bCs/>
          <w:sz w:val="24"/>
        </w:rPr>
        <w:t>公允价值存在重大不确定性时，经与基金托管人协商</w:t>
      </w:r>
      <w:r w:rsidR="005C44F4">
        <w:rPr>
          <w:rFonts w:ascii="宋体" w:hAnsi="宋体" w:cs="Arial"/>
          <w:bCs/>
          <w:sz w:val="24"/>
        </w:rPr>
        <w:lastRenderedPageBreak/>
        <w:t>确认后，基金管理人应当延缓支付赎回对价或暂停接受基金赎回申请。</w:t>
      </w:r>
    </w:p>
    <w:p w14:paraId="002635AF" w14:textId="0E5B3EE5" w:rsidR="00C52815" w:rsidRDefault="00D375AF">
      <w:pPr>
        <w:spacing w:line="360" w:lineRule="auto"/>
        <w:ind w:firstLineChars="200" w:firstLine="480"/>
        <w:rPr>
          <w:rFonts w:ascii="宋体" w:hAnsi="宋体" w:cs="Arial"/>
          <w:bCs/>
          <w:sz w:val="24"/>
        </w:rPr>
      </w:pPr>
      <w:r>
        <w:rPr>
          <w:rFonts w:ascii="宋体" w:hAnsi="宋体" w:cs="Arial"/>
          <w:bCs/>
          <w:sz w:val="24"/>
        </w:rPr>
        <w:t>8</w:t>
      </w:r>
      <w:r w:rsidR="005C44F4">
        <w:rPr>
          <w:rFonts w:ascii="宋体" w:hAnsi="宋体" w:cs="Arial" w:hint="eastAsia"/>
          <w:bCs/>
          <w:sz w:val="24"/>
        </w:rPr>
        <w:t>、发生证券交易服务公司等机构认定的交易异常情况并决定暂停提供部分或者全部港股通服务，或者发生其他影响通过内地与香港股票市场交易互联互通机制进行正常交易的情形。</w:t>
      </w:r>
    </w:p>
    <w:p w14:paraId="54E61D6A" w14:textId="5DDD0A05" w:rsidR="00C52815" w:rsidRDefault="00D375AF">
      <w:pPr>
        <w:spacing w:line="360" w:lineRule="auto"/>
        <w:ind w:firstLineChars="200" w:firstLine="480"/>
        <w:rPr>
          <w:rFonts w:ascii="宋体" w:hAnsi="宋体" w:cs="Arial"/>
          <w:bCs/>
          <w:sz w:val="24"/>
        </w:rPr>
      </w:pPr>
      <w:r>
        <w:rPr>
          <w:rFonts w:ascii="宋体" w:hAnsi="宋体" w:cs="Arial"/>
          <w:bCs/>
          <w:sz w:val="24"/>
        </w:rPr>
        <w:t>9</w:t>
      </w:r>
      <w:r w:rsidR="005C44F4">
        <w:rPr>
          <w:rFonts w:ascii="宋体" w:hAnsi="宋体" w:cs="Arial"/>
          <w:bCs/>
          <w:sz w:val="24"/>
        </w:rPr>
        <w:t>、法律法规</w:t>
      </w:r>
      <w:r>
        <w:rPr>
          <w:rFonts w:hint="eastAsia"/>
          <w:bCs/>
          <w:sz w:val="24"/>
        </w:rPr>
        <w:t>、</w:t>
      </w:r>
      <w:r w:rsidRPr="005774A7">
        <w:rPr>
          <w:rFonts w:hint="eastAsia"/>
          <w:bCs/>
          <w:sz w:val="24"/>
        </w:rPr>
        <w:t>交易规则</w:t>
      </w:r>
      <w:r>
        <w:rPr>
          <w:rFonts w:hint="eastAsia"/>
          <w:bCs/>
          <w:sz w:val="24"/>
        </w:rPr>
        <w:t>规定</w:t>
      </w:r>
      <w:r w:rsidRPr="002A7629">
        <w:rPr>
          <w:rFonts w:hint="eastAsia"/>
          <w:bCs/>
          <w:sz w:val="24"/>
        </w:rPr>
        <w:t>或</w:t>
      </w:r>
      <w:r w:rsidRPr="00056472">
        <w:rPr>
          <w:rFonts w:hint="eastAsia"/>
          <w:bCs/>
          <w:sz w:val="24"/>
        </w:rPr>
        <w:t>上海证券交易所、</w:t>
      </w:r>
      <w:r w:rsidR="005C44F4">
        <w:rPr>
          <w:rFonts w:ascii="宋体" w:hAnsi="宋体" w:cs="Arial"/>
          <w:bCs/>
          <w:sz w:val="24"/>
        </w:rPr>
        <w:t xml:space="preserve">中国证监会认定的其他情形。 </w:t>
      </w:r>
    </w:p>
    <w:p w14:paraId="481DDE4D" w14:textId="4A21E9B3" w:rsidR="00D375AF" w:rsidRDefault="00D375AF" w:rsidP="00D375AF">
      <w:pPr>
        <w:spacing w:line="360" w:lineRule="auto"/>
        <w:ind w:firstLineChars="200" w:firstLine="480"/>
        <w:rPr>
          <w:bCs/>
        </w:rPr>
      </w:pPr>
      <w:r>
        <w:rPr>
          <w:bCs/>
          <w:sz w:val="24"/>
        </w:rPr>
        <w:t>发生上述情形</w:t>
      </w:r>
      <w:r>
        <w:rPr>
          <w:rFonts w:hint="eastAsia"/>
          <w:bCs/>
          <w:sz w:val="24"/>
        </w:rPr>
        <w:t>（第</w:t>
      </w:r>
      <w:r>
        <w:rPr>
          <w:bCs/>
          <w:sz w:val="24"/>
        </w:rPr>
        <w:t>4</w:t>
      </w:r>
      <w:r>
        <w:rPr>
          <w:rFonts w:hint="eastAsia"/>
          <w:bCs/>
          <w:sz w:val="24"/>
        </w:rPr>
        <w:t>项、第</w:t>
      </w:r>
      <w:r>
        <w:rPr>
          <w:bCs/>
          <w:sz w:val="24"/>
        </w:rPr>
        <w:t>6</w:t>
      </w:r>
      <w:r>
        <w:rPr>
          <w:rFonts w:hint="eastAsia"/>
          <w:bCs/>
          <w:sz w:val="24"/>
        </w:rPr>
        <w:t>项</w:t>
      </w:r>
      <w:r>
        <w:rPr>
          <w:bCs/>
          <w:sz w:val="24"/>
        </w:rPr>
        <w:t>除外</w:t>
      </w:r>
      <w:r>
        <w:rPr>
          <w:rFonts w:hint="eastAsia"/>
          <w:bCs/>
          <w:sz w:val="24"/>
        </w:rPr>
        <w:t>）</w:t>
      </w:r>
      <w:r>
        <w:rPr>
          <w:bCs/>
          <w:sz w:val="24"/>
        </w:rPr>
        <w:t>之一</w:t>
      </w:r>
      <w:proofErr w:type="gramStart"/>
      <w:r>
        <w:rPr>
          <w:bCs/>
          <w:sz w:val="24"/>
        </w:rPr>
        <w:t>且基金</w:t>
      </w:r>
      <w:proofErr w:type="gramEnd"/>
      <w:r>
        <w:rPr>
          <w:bCs/>
          <w:sz w:val="24"/>
        </w:rPr>
        <w:t>管理人决定暂停赎回或延缓支付赎回</w:t>
      </w:r>
      <w:r>
        <w:rPr>
          <w:rFonts w:hint="eastAsia"/>
          <w:bCs/>
          <w:sz w:val="24"/>
        </w:rPr>
        <w:t>对价</w:t>
      </w:r>
      <w:r>
        <w:rPr>
          <w:bCs/>
          <w:sz w:val="24"/>
        </w:rPr>
        <w:t>时，基金管理人</w:t>
      </w:r>
      <w:r>
        <w:rPr>
          <w:rFonts w:hint="eastAsia"/>
          <w:bCs/>
          <w:sz w:val="24"/>
        </w:rPr>
        <w:t>应当根据《信息披露办法》的规定在规定媒介上刊登公告并按规定</w:t>
      </w:r>
      <w:r>
        <w:rPr>
          <w:bCs/>
          <w:sz w:val="24"/>
        </w:rPr>
        <w:t>报中国证监会备案，已确认的赎回申请，基金管理人应足额支付。</w:t>
      </w:r>
      <w:r w:rsidR="00BE77AB" w:rsidRPr="0025227F">
        <w:rPr>
          <w:rFonts w:hint="eastAsia"/>
          <w:bCs/>
          <w:sz w:val="24"/>
        </w:rPr>
        <w:t>在暂停</w:t>
      </w:r>
      <w:r w:rsidR="00BE77AB">
        <w:rPr>
          <w:rFonts w:hint="eastAsia"/>
          <w:bCs/>
          <w:sz w:val="24"/>
        </w:rPr>
        <w:t>接受</w:t>
      </w:r>
      <w:r w:rsidR="00BE77AB" w:rsidRPr="0025227F">
        <w:rPr>
          <w:rFonts w:hint="eastAsia"/>
          <w:bCs/>
          <w:sz w:val="24"/>
        </w:rPr>
        <w:t>赎回申请或延缓支付赎回对价的情形消除时（上述第</w:t>
      </w:r>
      <w:r w:rsidR="00BE77AB">
        <w:rPr>
          <w:bCs/>
          <w:sz w:val="24"/>
        </w:rPr>
        <w:t>4</w:t>
      </w:r>
      <w:r w:rsidR="00BE77AB" w:rsidRPr="0025227F">
        <w:rPr>
          <w:rFonts w:hint="eastAsia"/>
          <w:bCs/>
          <w:sz w:val="24"/>
        </w:rPr>
        <w:t>项除外），基金管理人应及时恢复赎回业务的办理并依照《信息披露办法》有关规定在规定媒介上刊登基金恢复赎回业务的公告</w:t>
      </w:r>
      <w:r w:rsidR="00BE77AB">
        <w:rPr>
          <w:rFonts w:hint="eastAsia"/>
          <w:bCs/>
          <w:sz w:val="24"/>
        </w:rPr>
        <w:t>。</w:t>
      </w:r>
    </w:p>
    <w:p w14:paraId="0957A40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九、其他申购赎回方式</w:t>
      </w:r>
    </w:p>
    <w:p w14:paraId="023BC96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1、在不违反法律法规的情况下，基金管理人可以根据具体情况履行适当程序后开通本基金的场外申购赎回等业务，无需召开基金份额持有人大会。场外申购赎回的具体办理方式等相关事项届时将另行公告。</w:t>
      </w:r>
    </w:p>
    <w:p w14:paraId="4AAA44BE" w14:textId="75708922" w:rsidR="00C52815" w:rsidRDefault="005C44F4">
      <w:pPr>
        <w:spacing w:line="360" w:lineRule="auto"/>
        <w:ind w:firstLineChars="200" w:firstLine="480"/>
        <w:rPr>
          <w:rFonts w:ascii="宋体" w:hAnsi="宋体" w:cs="Arial"/>
          <w:bCs/>
          <w:sz w:val="24"/>
        </w:rPr>
      </w:pPr>
      <w:r>
        <w:rPr>
          <w:rFonts w:ascii="宋体" w:hAnsi="宋体" w:cs="Arial"/>
          <w:bCs/>
          <w:sz w:val="24"/>
        </w:rPr>
        <w:t>2、</w:t>
      </w:r>
      <w:proofErr w:type="gramStart"/>
      <w:r>
        <w:rPr>
          <w:rFonts w:ascii="宋体" w:hAnsi="宋体" w:cs="Arial"/>
          <w:bCs/>
          <w:sz w:val="24"/>
        </w:rPr>
        <w:t>若基金</w:t>
      </w:r>
      <w:proofErr w:type="gramEnd"/>
      <w:r>
        <w:rPr>
          <w:rFonts w:ascii="宋体" w:hAnsi="宋体" w:cs="Arial"/>
          <w:bCs/>
          <w:sz w:val="24"/>
        </w:rPr>
        <w:t>管理人推出本基金的ETF联接基金，</w:t>
      </w:r>
      <w:r w:rsidR="009F7A7A">
        <w:rPr>
          <w:rFonts w:ascii="宋体" w:hAnsi="宋体" w:cs="Arial" w:hint="eastAsia"/>
          <w:bCs/>
          <w:sz w:val="24"/>
        </w:rPr>
        <w:t>本基金可向</w:t>
      </w:r>
      <w:r w:rsidR="005D275E">
        <w:rPr>
          <w:rFonts w:ascii="宋体" w:hAnsi="宋体" w:cs="Arial" w:hint="eastAsia"/>
          <w:bCs/>
          <w:sz w:val="24"/>
        </w:rPr>
        <w:t>该</w:t>
      </w:r>
      <w:r w:rsidR="009F7A7A" w:rsidRPr="00957777">
        <w:rPr>
          <w:rFonts w:ascii="宋体" w:hAnsi="宋体" w:cs="Arial" w:hint="eastAsia"/>
          <w:bCs/>
          <w:sz w:val="24"/>
        </w:rPr>
        <w:t>ETF联接基金</w:t>
      </w:r>
      <w:r w:rsidR="009F7A7A">
        <w:rPr>
          <w:rFonts w:ascii="宋体" w:hAnsi="宋体" w:cs="Arial" w:hint="eastAsia"/>
          <w:bCs/>
          <w:sz w:val="24"/>
        </w:rPr>
        <w:t>开通</w:t>
      </w:r>
      <w:r w:rsidR="009F7A7A" w:rsidRPr="00957777">
        <w:rPr>
          <w:rFonts w:ascii="宋体" w:hAnsi="宋体" w:cs="Arial" w:hint="eastAsia"/>
          <w:bCs/>
          <w:sz w:val="24"/>
        </w:rPr>
        <w:t>特殊申购</w:t>
      </w:r>
      <w:r>
        <w:rPr>
          <w:rFonts w:ascii="宋体" w:hAnsi="宋体" w:cs="Arial"/>
          <w:bCs/>
          <w:sz w:val="24"/>
        </w:rPr>
        <w:t>，不收取申购费用。</w:t>
      </w:r>
    </w:p>
    <w:p w14:paraId="011BFC1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3、基金管理人可以在不违反法律法规规定的情况下，调整基金申购赎回方式或申购赎回对价组成，并提前公告。</w:t>
      </w:r>
    </w:p>
    <w:p w14:paraId="29A2479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w:t>
      </w:r>
      <w:r>
        <w:rPr>
          <w:rFonts w:ascii="宋体" w:hAnsi="宋体" w:cs="Arial" w:hint="eastAsia"/>
          <w:bCs/>
          <w:sz w:val="24"/>
        </w:rPr>
        <w:t>在条件允许时，基金管理人可开放集合申购，集合申购业务的相关规则由基金管理</w:t>
      </w:r>
      <w:proofErr w:type="gramStart"/>
      <w:r>
        <w:rPr>
          <w:rFonts w:ascii="宋体" w:hAnsi="宋体" w:cs="Arial" w:hint="eastAsia"/>
          <w:bCs/>
          <w:sz w:val="24"/>
        </w:rPr>
        <w:t>人制</w:t>
      </w:r>
      <w:proofErr w:type="gramEnd"/>
      <w:r>
        <w:rPr>
          <w:rFonts w:ascii="宋体" w:hAnsi="宋体" w:cs="Arial" w:hint="eastAsia"/>
          <w:bCs/>
          <w:sz w:val="24"/>
        </w:rPr>
        <w:t>定并依照《信息披露办法》的有关规定及时公告。</w:t>
      </w:r>
    </w:p>
    <w:p w14:paraId="51A1016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5、基金管理人指定的代理机构可依据法律法规和本基金合同开展其他服务，基金管理人应依照《信息披露办法》的有关规定在规定媒介上公告。</w:t>
      </w:r>
    </w:p>
    <w:p w14:paraId="28C0F0A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十、基金份额折算</w:t>
      </w:r>
    </w:p>
    <w:p w14:paraId="0CDD196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基金管理人可向登记结算机构申请办理基金份额折算与变更登记，无需召开基金份额</w:t>
      </w:r>
      <w:r>
        <w:rPr>
          <w:rFonts w:ascii="宋体" w:hAnsi="宋体" w:cs="Arial"/>
          <w:sz w:val="24"/>
        </w:rPr>
        <w:t>持有</w:t>
      </w:r>
      <w:r>
        <w:rPr>
          <w:rFonts w:ascii="宋体" w:hAnsi="宋体" w:cs="Arial"/>
          <w:bCs/>
          <w:sz w:val="24"/>
        </w:rPr>
        <w:t>人大会。基金份额折算后，基金的基金份额总额与基金份额持有人持有的基金份额数额将发生调整，但调整后的</w:t>
      </w:r>
      <w:r>
        <w:rPr>
          <w:rFonts w:ascii="宋体" w:hAnsi="宋体" w:cs="Arial"/>
          <w:sz w:val="24"/>
        </w:rPr>
        <w:t>基金份额持有人持有的基金份额</w:t>
      </w:r>
      <w:r>
        <w:rPr>
          <w:rFonts w:ascii="宋体" w:hAnsi="宋体" w:cs="Arial"/>
          <w:bCs/>
          <w:sz w:val="24"/>
        </w:rPr>
        <w:t>占基金份额总额</w:t>
      </w:r>
      <w:r>
        <w:rPr>
          <w:rFonts w:ascii="宋体" w:hAnsi="宋体" w:cs="Arial"/>
          <w:sz w:val="24"/>
        </w:rPr>
        <w:t>的</w:t>
      </w:r>
      <w:r>
        <w:rPr>
          <w:rFonts w:ascii="宋体" w:hAnsi="宋体" w:cs="Arial"/>
          <w:bCs/>
          <w:sz w:val="24"/>
        </w:rPr>
        <w:t>比例不发生变化。除因尾数处理而产生的损益外，基金</w:t>
      </w:r>
      <w:r>
        <w:rPr>
          <w:rFonts w:ascii="宋体" w:hAnsi="宋体" w:cs="Arial"/>
          <w:bCs/>
          <w:sz w:val="24"/>
        </w:rPr>
        <w:lastRenderedPageBreak/>
        <w:t>份额折算对</w:t>
      </w:r>
      <w:r>
        <w:rPr>
          <w:rFonts w:ascii="宋体" w:hAnsi="宋体" w:cs="Arial"/>
          <w:sz w:val="24"/>
        </w:rPr>
        <w:t>基金份额持有人</w:t>
      </w:r>
      <w:r>
        <w:rPr>
          <w:rFonts w:ascii="宋体" w:hAnsi="宋体" w:cs="Arial"/>
          <w:bCs/>
          <w:sz w:val="24"/>
        </w:rPr>
        <w:t>的权益无实质性影响。基金份额折算后，</w:t>
      </w:r>
      <w:r>
        <w:rPr>
          <w:rFonts w:ascii="宋体" w:hAnsi="宋体" w:cs="Arial"/>
          <w:sz w:val="24"/>
        </w:rPr>
        <w:t>基金份额持有人</w:t>
      </w:r>
      <w:r>
        <w:rPr>
          <w:rFonts w:ascii="宋体" w:hAnsi="宋体" w:cs="Arial"/>
          <w:bCs/>
          <w:sz w:val="24"/>
        </w:rPr>
        <w:t>将按照折算后的基金份额享有权利并承担义务。基金管理人应就其具体事宜进行必要公告，并提前通知基金托管人。</w:t>
      </w:r>
    </w:p>
    <w:p w14:paraId="19252D8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如果基金份额折算过程中发生不可抗力或登记结算机构遇特殊情况无法办理，基金管理人可延迟办理基金份额折算。</w:t>
      </w:r>
    </w:p>
    <w:p w14:paraId="424FB5E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基金份额折算的具体方法在基金份额折算公告中列示。</w:t>
      </w:r>
    </w:p>
    <w:p w14:paraId="0703664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十一、基金的</w:t>
      </w:r>
      <w:proofErr w:type="gramStart"/>
      <w:r>
        <w:rPr>
          <w:rFonts w:ascii="宋体" w:hAnsi="宋体" w:cs="Arial"/>
          <w:bCs/>
          <w:sz w:val="24"/>
        </w:rPr>
        <w:t>非交易</w:t>
      </w:r>
      <w:proofErr w:type="gramEnd"/>
      <w:r>
        <w:rPr>
          <w:rFonts w:ascii="宋体" w:hAnsi="宋体" w:cs="Arial"/>
          <w:bCs/>
          <w:sz w:val="24"/>
        </w:rPr>
        <w:t>过户</w:t>
      </w:r>
    </w:p>
    <w:p w14:paraId="287733B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基金的</w:t>
      </w:r>
      <w:proofErr w:type="gramStart"/>
      <w:r>
        <w:rPr>
          <w:rFonts w:ascii="宋体" w:hAnsi="宋体" w:cs="Arial"/>
          <w:bCs/>
          <w:sz w:val="24"/>
        </w:rPr>
        <w:t>非交易</w:t>
      </w:r>
      <w:proofErr w:type="gramEnd"/>
      <w:r>
        <w:rPr>
          <w:rFonts w:ascii="宋体" w:hAnsi="宋体" w:cs="Arial"/>
          <w:bCs/>
          <w:sz w:val="24"/>
        </w:rPr>
        <w:t>过户是指基金登记</w:t>
      </w:r>
      <w:r>
        <w:rPr>
          <w:rFonts w:ascii="宋体" w:hAnsi="宋体" w:cs="Arial" w:hint="eastAsia"/>
          <w:bCs/>
          <w:sz w:val="24"/>
        </w:rPr>
        <w:t>结算</w:t>
      </w:r>
      <w:r>
        <w:rPr>
          <w:rFonts w:ascii="宋体" w:hAnsi="宋体" w:cs="Arial"/>
          <w:bCs/>
          <w:sz w:val="24"/>
        </w:rPr>
        <w:t>机构受理继承、捐赠和司法强制执行等情形而产生的</w:t>
      </w:r>
      <w:proofErr w:type="gramStart"/>
      <w:r>
        <w:rPr>
          <w:rFonts w:ascii="宋体" w:hAnsi="宋体" w:cs="Arial"/>
          <w:bCs/>
          <w:sz w:val="24"/>
        </w:rPr>
        <w:t>非交易</w:t>
      </w:r>
      <w:proofErr w:type="gramEnd"/>
      <w:r>
        <w:rPr>
          <w:rFonts w:ascii="宋体" w:hAnsi="宋体" w:cs="Arial"/>
          <w:bCs/>
          <w:sz w:val="24"/>
        </w:rPr>
        <w:t>过户以及登记</w:t>
      </w:r>
      <w:r>
        <w:rPr>
          <w:rFonts w:ascii="宋体" w:hAnsi="宋体" w:cs="Arial" w:hint="eastAsia"/>
          <w:bCs/>
          <w:sz w:val="24"/>
        </w:rPr>
        <w:t>结算</w:t>
      </w:r>
      <w:r>
        <w:rPr>
          <w:rFonts w:ascii="宋体" w:hAnsi="宋体" w:cs="Arial"/>
          <w:bCs/>
          <w:sz w:val="24"/>
        </w:rPr>
        <w:t>机构认可、符合法律法规的其它</w:t>
      </w:r>
      <w:proofErr w:type="gramStart"/>
      <w:r>
        <w:rPr>
          <w:rFonts w:ascii="宋体" w:hAnsi="宋体" w:cs="Arial"/>
          <w:bCs/>
          <w:sz w:val="24"/>
        </w:rPr>
        <w:t>非交易</w:t>
      </w:r>
      <w:proofErr w:type="gramEnd"/>
      <w:r>
        <w:rPr>
          <w:rFonts w:ascii="宋体" w:hAnsi="宋体" w:cs="Arial"/>
          <w:bCs/>
          <w:sz w:val="24"/>
        </w:rPr>
        <w:t>过户。无论在上述何种情况下，接受划转的主体必须是依法可以持有本</w:t>
      </w:r>
      <w:proofErr w:type="gramStart"/>
      <w:r>
        <w:rPr>
          <w:rFonts w:ascii="宋体" w:hAnsi="宋体" w:cs="Arial"/>
          <w:bCs/>
          <w:sz w:val="24"/>
        </w:rPr>
        <w:t>基金基金</w:t>
      </w:r>
      <w:proofErr w:type="gramEnd"/>
      <w:r>
        <w:rPr>
          <w:rFonts w:ascii="宋体" w:hAnsi="宋体" w:cs="Arial"/>
          <w:bCs/>
          <w:sz w:val="24"/>
        </w:rPr>
        <w:t>份额的投资人。</w:t>
      </w:r>
    </w:p>
    <w:p w14:paraId="0008CF3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继承是指基金份额持有人死亡，其持有的基金份额由其合法的继承人继承；</w:t>
      </w:r>
      <w:proofErr w:type="gramStart"/>
      <w:r>
        <w:rPr>
          <w:rFonts w:ascii="宋体" w:hAnsi="宋体" w:cs="Arial"/>
          <w:bCs/>
          <w:sz w:val="24"/>
        </w:rPr>
        <w:t>捐赠指</w:t>
      </w:r>
      <w:proofErr w:type="gramEnd"/>
      <w:r>
        <w:rPr>
          <w:rFonts w:ascii="宋体" w:hAnsi="宋体" w:cs="Arial"/>
          <w:bCs/>
          <w:sz w:val="24"/>
        </w:rPr>
        <w:t>基金份额持有人将其合法持有的基金份额捐赠给公益性质的基金会或社会团体；司法强制执行是指司法机构依据生效司法文书和协助执行通知书要求登记</w:t>
      </w:r>
      <w:r>
        <w:rPr>
          <w:rFonts w:ascii="宋体" w:hAnsi="宋体" w:cs="Arial" w:hint="eastAsia"/>
          <w:bCs/>
          <w:sz w:val="24"/>
        </w:rPr>
        <w:t>结算</w:t>
      </w:r>
      <w:r>
        <w:rPr>
          <w:rFonts w:ascii="宋体" w:hAnsi="宋体" w:cs="Arial"/>
          <w:bCs/>
          <w:sz w:val="24"/>
        </w:rPr>
        <w:t>机构将基金份额持有人持有的基金份额强制划转给其他自然人、法人或其他组织。办理</w:t>
      </w:r>
      <w:proofErr w:type="gramStart"/>
      <w:r>
        <w:rPr>
          <w:rFonts w:ascii="宋体" w:hAnsi="宋体" w:cs="Arial"/>
          <w:bCs/>
          <w:sz w:val="24"/>
        </w:rPr>
        <w:t>非交易</w:t>
      </w:r>
      <w:proofErr w:type="gramEnd"/>
      <w:r>
        <w:rPr>
          <w:rFonts w:ascii="宋体" w:hAnsi="宋体" w:cs="Arial"/>
          <w:bCs/>
          <w:sz w:val="24"/>
        </w:rPr>
        <w:t>过户必须提供基金登记</w:t>
      </w:r>
      <w:r>
        <w:rPr>
          <w:rFonts w:ascii="宋体" w:hAnsi="宋体" w:cs="Arial" w:hint="eastAsia"/>
          <w:bCs/>
          <w:sz w:val="24"/>
        </w:rPr>
        <w:t>结算</w:t>
      </w:r>
      <w:r>
        <w:rPr>
          <w:rFonts w:ascii="宋体" w:hAnsi="宋体" w:cs="Arial"/>
          <w:bCs/>
          <w:sz w:val="24"/>
        </w:rPr>
        <w:t>机构要求提供的相关资料，对于符合条件的</w:t>
      </w:r>
      <w:proofErr w:type="gramStart"/>
      <w:r>
        <w:rPr>
          <w:rFonts w:ascii="宋体" w:hAnsi="宋体" w:cs="Arial"/>
          <w:bCs/>
          <w:sz w:val="24"/>
        </w:rPr>
        <w:t>非交易过户申请按</w:t>
      </w:r>
      <w:proofErr w:type="gramEnd"/>
      <w:r>
        <w:rPr>
          <w:rFonts w:ascii="宋体" w:hAnsi="宋体" w:cs="Arial"/>
          <w:bCs/>
          <w:sz w:val="24"/>
        </w:rPr>
        <w:t>基金登记</w:t>
      </w:r>
      <w:r>
        <w:rPr>
          <w:rFonts w:ascii="宋体" w:hAnsi="宋体" w:cs="Arial" w:hint="eastAsia"/>
          <w:bCs/>
          <w:sz w:val="24"/>
        </w:rPr>
        <w:t>结算</w:t>
      </w:r>
      <w:r>
        <w:rPr>
          <w:rFonts w:ascii="宋体" w:hAnsi="宋体" w:cs="Arial"/>
          <w:bCs/>
          <w:sz w:val="24"/>
        </w:rPr>
        <w:t>机构的规定办理，并按基金登记</w:t>
      </w:r>
      <w:r>
        <w:rPr>
          <w:rFonts w:ascii="宋体" w:hAnsi="宋体" w:cs="Arial" w:hint="eastAsia"/>
          <w:bCs/>
          <w:sz w:val="24"/>
        </w:rPr>
        <w:t>结算</w:t>
      </w:r>
      <w:r>
        <w:rPr>
          <w:rFonts w:ascii="宋体" w:hAnsi="宋体" w:cs="Arial"/>
          <w:bCs/>
          <w:sz w:val="24"/>
        </w:rPr>
        <w:t>机构规定的标准收费。</w:t>
      </w:r>
    </w:p>
    <w:p w14:paraId="380A73F2" w14:textId="77777777" w:rsidR="009F7A7A" w:rsidRDefault="005C44F4" w:rsidP="009F7A7A">
      <w:pPr>
        <w:spacing w:line="360" w:lineRule="auto"/>
        <w:ind w:firstLineChars="200" w:firstLine="480"/>
        <w:rPr>
          <w:rFonts w:ascii="宋体" w:hAnsi="宋体" w:cs="Arial"/>
          <w:bCs/>
          <w:sz w:val="24"/>
        </w:rPr>
      </w:pPr>
      <w:r>
        <w:rPr>
          <w:rFonts w:ascii="宋体" w:hAnsi="宋体" w:cs="Arial"/>
          <w:bCs/>
          <w:sz w:val="24"/>
        </w:rPr>
        <w:t>十二、</w:t>
      </w:r>
      <w:r w:rsidR="009F7A7A">
        <w:rPr>
          <w:rFonts w:ascii="宋体" w:hAnsi="宋体" w:cs="Arial" w:hint="eastAsia"/>
          <w:bCs/>
          <w:sz w:val="24"/>
        </w:rPr>
        <w:t>基金的质押</w:t>
      </w:r>
    </w:p>
    <w:p w14:paraId="040ED21A" w14:textId="77777777" w:rsidR="009F7A7A" w:rsidRDefault="009F7A7A" w:rsidP="009F7A7A">
      <w:pPr>
        <w:spacing w:line="360" w:lineRule="auto"/>
        <w:ind w:firstLineChars="200" w:firstLine="480"/>
        <w:rPr>
          <w:rFonts w:ascii="宋体" w:hAnsi="宋体" w:cs="Arial"/>
          <w:bCs/>
          <w:sz w:val="24"/>
        </w:rPr>
      </w:pPr>
      <w:r>
        <w:rPr>
          <w:rFonts w:ascii="宋体" w:hAnsi="宋体" w:cs="Arial" w:hint="eastAsia"/>
          <w:bCs/>
          <w:sz w:val="24"/>
        </w:rPr>
        <w:t>在条件允许的情况下，登记结算机构可依据相关法律法规及其业务规则，办理基金份额质押业务，并收取一定的手续费。</w:t>
      </w:r>
    </w:p>
    <w:p w14:paraId="6D029752" w14:textId="0CB53C63" w:rsidR="00C52815" w:rsidRDefault="009F7A7A">
      <w:pPr>
        <w:spacing w:line="360" w:lineRule="auto"/>
        <w:ind w:firstLineChars="200" w:firstLine="480"/>
        <w:rPr>
          <w:rFonts w:ascii="宋体" w:hAnsi="宋体" w:cs="Arial"/>
          <w:bCs/>
          <w:sz w:val="24"/>
        </w:rPr>
      </w:pPr>
      <w:r>
        <w:rPr>
          <w:rFonts w:ascii="宋体" w:hAnsi="宋体" w:cs="Arial"/>
          <w:bCs/>
          <w:sz w:val="24"/>
        </w:rPr>
        <w:t>十三、</w:t>
      </w:r>
      <w:r w:rsidR="005C44F4">
        <w:rPr>
          <w:rFonts w:ascii="宋体" w:hAnsi="宋体" w:cs="Arial"/>
          <w:bCs/>
          <w:sz w:val="24"/>
        </w:rPr>
        <w:t>基金份额的冻结和解冻</w:t>
      </w:r>
    </w:p>
    <w:p w14:paraId="177407E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基金登记</w:t>
      </w:r>
      <w:r>
        <w:rPr>
          <w:rFonts w:ascii="宋体" w:hAnsi="宋体" w:cs="Arial" w:hint="eastAsia"/>
          <w:bCs/>
          <w:sz w:val="24"/>
        </w:rPr>
        <w:t>结算</w:t>
      </w:r>
      <w:r>
        <w:rPr>
          <w:rFonts w:ascii="宋体" w:hAnsi="宋体" w:cs="Arial"/>
          <w:bCs/>
          <w:sz w:val="24"/>
        </w:rPr>
        <w:t>机构只受理国家有权机关依法要求的基金份额的冻结与解冻，以及登记</w:t>
      </w:r>
      <w:r>
        <w:rPr>
          <w:rFonts w:ascii="宋体" w:hAnsi="宋体" w:cs="Arial" w:hint="eastAsia"/>
          <w:bCs/>
          <w:sz w:val="24"/>
        </w:rPr>
        <w:t>结算</w:t>
      </w:r>
      <w:r>
        <w:rPr>
          <w:rFonts w:ascii="宋体" w:hAnsi="宋体" w:cs="Arial"/>
          <w:bCs/>
          <w:sz w:val="24"/>
        </w:rPr>
        <w:t>机构认可、符合法律法规的其他情况下的冻结与解冻。</w:t>
      </w:r>
    </w:p>
    <w:p w14:paraId="5960B5D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基金份额被冻结的，被冻结部分产生的权益一并冻结，被冻结部分份额仍然参与收益分配。法律法规或监管机构另有规定的除外。</w:t>
      </w:r>
    </w:p>
    <w:p w14:paraId="6E2CA90F" w14:textId="189AB7C2" w:rsidR="00C52815" w:rsidRDefault="005C44F4">
      <w:pPr>
        <w:spacing w:line="360" w:lineRule="auto"/>
        <w:ind w:firstLineChars="200" w:firstLine="480"/>
        <w:rPr>
          <w:rFonts w:ascii="宋体" w:hAnsi="宋体" w:cs="Arial"/>
          <w:bCs/>
          <w:sz w:val="24"/>
        </w:rPr>
      </w:pPr>
      <w:r>
        <w:rPr>
          <w:rFonts w:ascii="宋体" w:hAnsi="宋体" w:cs="Arial"/>
          <w:bCs/>
          <w:sz w:val="24"/>
        </w:rPr>
        <w:t>十</w:t>
      </w:r>
      <w:r w:rsidR="009F7A7A">
        <w:rPr>
          <w:rFonts w:ascii="宋体" w:hAnsi="宋体" w:cs="Arial"/>
          <w:bCs/>
          <w:sz w:val="24"/>
        </w:rPr>
        <w:t>四</w:t>
      </w:r>
      <w:r>
        <w:rPr>
          <w:rFonts w:ascii="宋体" w:hAnsi="宋体" w:cs="Arial"/>
          <w:bCs/>
          <w:sz w:val="24"/>
        </w:rPr>
        <w:t>、基金管理人可在法律法规允许的范围内，在不影响基金份额持有人实质利益的前提下，根据市场情况对上述申购和赎回的安排进行补充和调整并提前公告。</w:t>
      </w:r>
    </w:p>
    <w:p w14:paraId="425E87E1" w14:textId="7F029C69"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十</w:t>
      </w:r>
      <w:r w:rsidR="009F7A7A">
        <w:rPr>
          <w:rFonts w:ascii="宋体" w:hAnsi="宋体" w:cs="Arial"/>
          <w:bCs/>
          <w:sz w:val="24"/>
        </w:rPr>
        <w:t>五</w:t>
      </w:r>
      <w:r>
        <w:rPr>
          <w:rFonts w:ascii="宋体" w:hAnsi="宋体" w:cs="Arial"/>
          <w:bCs/>
          <w:sz w:val="24"/>
        </w:rPr>
        <w:t>、</w:t>
      </w:r>
      <w:r>
        <w:rPr>
          <w:rFonts w:ascii="宋体" w:hAnsi="宋体" w:cs="Arial"/>
          <w:sz w:val="24"/>
          <w:szCs w:val="24"/>
        </w:rPr>
        <w:t>若上海证券交易所和中国证券登记结算有限责任公司针对交易型开放式指数证券投资基金修改现有的清算交收与登记模式或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的招募说明书及其更新中予以更新，无需召开基金份额持有人大会审议。</w:t>
      </w:r>
    </w:p>
    <w:p w14:paraId="3F8F9E14" w14:textId="77777777" w:rsidR="00C52815" w:rsidRDefault="005C44F4">
      <w:pPr>
        <w:pStyle w:val="1"/>
        <w:spacing w:before="0" w:after="0"/>
        <w:jc w:val="center"/>
        <w:rPr>
          <w:rFonts w:hAnsi="宋体" w:cs="Arial"/>
          <w:color w:val="auto"/>
          <w:sz w:val="30"/>
        </w:rPr>
      </w:pPr>
      <w:r>
        <w:rPr>
          <w:rFonts w:hAnsi="宋体" w:cs="Arial"/>
          <w:b w:val="0"/>
          <w:bCs/>
          <w:color w:val="auto"/>
        </w:rPr>
        <w:br w:type="page"/>
      </w:r>
      <w:bookmarkStart w:id="149" w:name="_Toc16859"/>
      <w:bookmarkStart w:id="150" w:name="_Toc123051453"/>
      <w:bookmarkStart w:id="151" w:name="_Toc29251"/>
      <w:bookmarkStart w:id="152" w:name="_Toc31235"/>
      <w:bookmarkStart w:id="153" w:name="_Toc31644"/>
      <w:bookmarkStart w:id="154" w:name="_Toc14835"/>
      <w:bookmarkStart w:id="155" w:name="_Toc26207"/>
      <w:bookmarkStart w:id="156" w:name="_Toc123112235"/>
      <w:bookmarkStart w:id="157" w:name="_Toc141703887"/>
      <w:bookmarkStart w:id="158" w:name="_Toc139991737"/>
      <w:bookmarkStart w:id="159" w:name="_Toc31653"/>
      <w:bookmarkStart w:id="160" w:name="_Toc123102454"/>
      <w:bookmarkStart w:id="161" w:name="_Toc6405"/>
      <w:bookmarkStart w:id="162" w:name="_Toc114406674"/>
      <w:bookmarkStart w:id="163" w:name="_Toc3809"/>
      <w:bookmarkStart w:id="164" w:name="_Toc7919"/>
      <w:bookmarkStart w:id="165" w:name="_Toc3601"/>
      <w:bookmarkStart w:id="166" w:name="_Toc12245"/>
      <w:bookmarkStart w:id="167" w:name="_Toc98560353"/>
      <w:bookmarkStart w:id="168" w:name="_Toc15143"/>
      <w:bookmarkStart w:id="169" w:name="_Toc560"/>
      <w:r>
        <w:rPr>
          <w:rFonts w:hAnsi="宋体" w:cs="Arial"/>
          <w:color w:val="auto"/>
          <w:sz w:val="30"/>
        </w:rPr>
        <w:lastRenderedPageBreak/>
        <w:t>第八部分  基金合同当事人及权利义务</w:t>
      </w:r>
      <w:bookmarkStart w:id="170" w:name="_Hlt55355235"/>
      <w:bookmarkStart w:id="171" w:name="_Toc523711668"/>
      <w:bookmarkStart w:id="172" w:name="_Toc57530239"/>
      <w:bookmarkStart w:id="173" w:name="_Toc79392580"/>
      <w:bookmarkStart w:id="174" w:name="_Toc15118234"/>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3B028DB" w14:textId="77777777" w:rsidR="00C52815" w:rsidRDefault="00C52815">
      <w:pPr>
        <w:spacing w:line="360" w:lineRule="auto"/>
        <w:ind w:firstLineChars="200" w:firstLine="480"/>
        <w:rPr>
          <w:rFonts w:ascii="宋体" w:hAnsi="宋体" w:cs="Arial"/>
          <w:bCs/>
          <w:sz w:val="24"/>
        </w:rPr>
      </w:pPr>
    </w:p>
    <w:p w14:paraId="181C06E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w:t>
      </w:r>
      <w:bookmarkEnd w:id="171"/>
      <w:r>
        <w:rPr>
          <w:rFonts w:ascii="宋体" w:hAnsi="宋体" w:cs="Arial"/>
          <w:bCs/>
          <w:sz w:val="24"/>
        </w:rPr>
        <w:t>管理人</w:t>
      </w:r>
      <w:bookmarkEnd w:id="172"/>
      <w:bookmarkEnd w:id="173"/>
      <w:bookmarkEnd w:id="174"/>
    </w:p>
    <w:p w14:paraId="06412E8D" w14:textId="77777777" w:rsidR="00C52815" w:rsidRDefault="005C44F4">
      <w:pPr>
        <w:spacing w:line="360" w:lineRule="auto"/>
        <w:ind w:firstLineChars="200" w:firstLine="480"/>
        <w:rPr>
          <w:rFonts w:ascii="宋体" w:hAnsi="宋体" w:cs="Arial"/>
          <w:bCs/>
          <w:sz w:val="24"/>
        </w:rPr>
      </w:pPr>
      <w:bookmarkStart w:id="175" w:name="_Toc15118235"/>
      <w:r>
        <w:rPr>
          <w:rFonts w:ascii="宋体" w:hAnsi="宋体" w:cs="Arial"/>
          <w:bCs/>
          <w:sz w:val="24"/>
        </w:rPr>
        <w:t>（一）</w:t>
      </w:r>
      <w:r>
        <w:rPr>
          <w:rFonts w:ascii="宋体" w:hAnsi="宋体" w:cs="Arial"/>
          <w:bCs/>
          <w:sz w:val="24"/>
        </w:rPr>
        <w:tab/>
        <w:t>基金管理人简况</w:t>
      </w:r>
      <w:bookmarkEnd w:id="175"/>
    </w:p>
    <w:p w14:paraId="0DA382E9" w14:textId="77777777" w:rsidR="00C52815" w:rsidRDefault="005C44F4">
      <w:pPr>
        <w:spacing w:line="360" w:lineRule="auto"/>
        <w:ind w:firstLineChars="200" w:firstLine="480"/>
        <w:rPr>
          <w:rFonts w:ascii="宋体" w:hAnsi="宋体" w:cs="Arial"/>
          <w:bCs/>
          <w:sz w:val="24"/>
        </w:rPr>
      </w:pPr>
      <w:bookmarkStart w:id="176" w:name="_Toc15118236"/>
      <w:bookmarkStart w:id="177" w:name="_Toc15118237"/>
      <w:r>
        <w:rPr>
          <w:rFonts w:ascii="宋体" w:hAnsi="宋体" w:cs="Arial"/>
          <w:bCs/>
          <w:sz w:val="24"/>
        </w:rPr>
        <w:t>名称：</w:t>
      </w:r>
      <w:bookmarkEnd w:id="176"/>
      <w:r>
        <w:rPr>
          <w:rFonts w:ascii="宋体" w:hAnsi="宋体" w:cs="Arial"/>
          <w:bCs/>
          <w:sz w:val="24"/>
        </w:rPr>
        <w:t>嘉</w:t>
      </w:r>
      <w:proofErr w:type="gramStart"/>
      <w:r>
        <w:rPr>
          <w:rFonts w:ascii="宋体" w:hAnsi="宋体" w:cs="Arial"/>
          <w:bCs/>
          <w:sz w:val="24"/>
        </w:rPr>
        <w:t>实基金</w:t>
      </w:r>
      <w:proofErr w:type="gramEnd"/>
      <w:r>
        <w:rPr>
          <w:rFonts w:ascii="宋体" w:hAnsi="宋体" w:cs="Arial"/>
          <w:bCs/>
          <w:sz w:val="24"/>
        </w:rPr>
        <w:t>管理有限公司</w:t>
      </w:r>
    </w:p>
    <w:p w14:paraId="54E1D42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住所：</w:t>
      </w:r>
      <w:r>
        <w:rPr>
          <w:rFonts w:ascii="宋体" w:hAnsi="宋体" w:cs="Arial"/>
          <w:sz w:val="24"/>
        </w:rPr>
        <w:t>中国（上海）自由贸易试验区</w:t>
      </w:r>
      <w:r>
        <w:rPr>
          <w:rFonts w:ascii="宋体" w:hAnsi="宋体" w:cs="Arial" w:hint="eastAsia"/>
          <w:sz w:val="24"/>
        </w:rPr>
        <w:t>陆家嘴环路1318号1806A单元</w:t>
      </w:r>
    </w:p>
    <w:p w14:paraId="769495C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办公地址：北京市朝阳区建国门外大街21号北京国际俱乐部C座写字楼12A层</w:t>
      </w:r>
    </w:p>
    <w:p w14:paraId="3D43340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法定代表人：经雷</w:t>
      </w:r>
    </w:p>
    <w:p w14:paraId="562F117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设立日期：</w:t>
      </w:r>
      <w:r>
        <w:rPr>
          <w:rFonts w:ascii="宋体" w:hAnsi="宋体" w:cs="Arial"/>
          <w:sz w:val="24"/>
        </w:rPr>
        <w:t>1999年3月25日</w:t>
      </w:r>
    </w:p>
    <w:p w14:paraId="66BDA27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批准设立机关及批准设立文号：</w:t>
      </w:r>
      <w:r>
        <w:rPr>
          <w:rFonts w:ascii="宋体" w:hAnsi="宋体" w:cs="Arial"/>
          <w:sz w:val="24"/>
        </w:rPr>
        <w:t>中国证监会</w:t>
      </w:r>
      <w:proofErr w:type="gramStart"/>
      <w:r>
        <w:rPr>
          <w:rFonts w:ascii="宋体" w:hAnsi="宋体" w:cs="Arial"/>
          <w:sz w:val="24"/>
        </w:rPr>
        <w:t>证监基字</w:t>
      </w:r>
      <w:proofErr w:type="gramEnd"/>
      <w:r>
        <w:rPr>
          <w:rFonts w:ascii="宋体" w:hAnsi="宋体" w:cs="Arial"/>
          <w:sz w:val="24"/>
        </w:rPr>
        <w:t>【1999】5号</w:t>
      </w:r>
    </w:p>
    <w:p w14:paraId="140DF3AA" w14:textId="0C08FC30" w:rsidR="00C52815" w:rsidRDefault="005C44F4">
      <w:pPr>
        <w:spacing w:line="360" w:lineRule="auto"/>
        <w:ind w:firstLineChars="200" w:firstLine="480"/>
        <w:rPr>
          <w:rFonts w:ascii="宋体" w:hAnsi="宋体" w:cs="Arial"/>
          <w:bCs/>
          <w:sz w:val="24"/>
        </w:rPr>
      </w:pPr>
      <w:r>
        <w:rPr>
          <w:rFonts w:ascii="宋体" w:hAnsi="宋体" w:cs="Arial"/>
          <w:bCs/>
          <w:sz w:val="24"/>
        </w:rPr>
        <w:t>组织形式：</w:t>
      </w:r>
      <w:r>
        <w:rPr>
          <w:rFonts w:ascii="宋体" w:hAnsi="宋体" w:cs="Arial"/>
          <w:sz w:val="24"/>
        </w:rPr>
        <w:t>有限责任公司（</w:t>
      </w:r>
      <w:r w:rsidR="000326AD">
        <w:rPr>
          <w:rFonts w:ascii="宋体" w:hAnsi="宋体" w:cs="Arial" w:hint="eastAsia"/>
          <w:sz w:val="24"/>
        </w:rPr>
        <w:t>外商投资、非独资</w:t>
      </w:r>
      <w:r>
        <w:rPr>
          <w:rFonts w:ascii="宋体" w:hAnsi="宋体" w:cs="Arial"/>
          <w:sz w:val="24"/>
        </w:rPr>
        <w:t>）</w:t>
      </w:r>
      <w:r>
        <w:rPr>
          <w:rFonts w:ascii="宋体" w:hAnsi="宋体" w:cs="Arial"/>
          <w:bCs/>
          <w:sz w:val="24"/>
        </w:rPr>
        <w:t xml:space="preserve"> </w:t>
      </w:r>
    </w:p>
    <w:p w14:paraId="76498B1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注册资本：</w:t>
      </w:r>
      <w:r>
        <w:rPr>
          <w:rFonts w:ascii="宋体" w:hAnsi="宋体" w:cs="Arial"/>
          <w:sz w:val="24"/>
        </w:rPr>
        <w:t>1.5亿元人民币</w:t>
      </w:r>
    </w:p>
    <w:p w14:paraId="7E69AC0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存续期限：</w:t>
      </w:r>
      <w:r>
        <w:rPr>
          <w:rFonts w:ascii="宋体" w:hAnsi="宋体" w:cs="Arial"/>
          <w:sz w:val="24"/>
        </w:rPr>
        <w:t>持续经营</w:t>
      </w:r>
    </w:p>
    <w:p w14:paraId="36F944B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联系电话：（010）6521 5588</w:t>
      </w:r>
    </w:p>
    <w:p w14:paraId="13CDCE90" w14:textId="77777777" w:rsidR="00C52815" w:rsidRDefault="005C44F4">
      <w:pPr>
        <w:spacing w:line="360" w:lineRule="auto"/>
        <w:ind w:firstLineChars="200" w:firstLine="480"/>
        <w:rPr>
          <w:rFonts w:ascii="宋体" w:hAnsi="宋体" w:cs="Arial"/>
          <w:bCs/>
          <w:sz w:val="24"/>
        </w:rPr>
      </w:pPr>
      <w:bookmarkStart w:id="178" w:name="OLE_LINK4"/>
      <w:r>
        <w:rPr>
          <w:rFonts w:ascii="宋体" w:hAnsi="宋体" w:cs="Arial"/>
          <w:bCs/>
          <w:sz w:val="24"/>
        </w:rPr>
        <w:t>（二）</w:t>
      </w:r>
      <w:r>
        <w:rPr>
          <w:rFonts w:ascii="宋体" w:hAnsi="宋体" w:cs="Arial"/>
          <w:bCs/>
          <w:sz w:val="24"/>
        </w:rPr>
        <w:tab/>
        <w:t>基金管理人的权利与义务</w:t>
      </w:r>
      <w:bookmarkEnd w:id="177"/>
    </w:p>
    <w:p w14:paraId="597A38F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1、根据《基金法》、《运作办法》及其他有关规定，基金管理人的权利包括但不限于：</w:t>
      </w:r>
    </w:p>
    <w:p w14:paraId="40E9111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（1）依法募集资金；</w:t>
      </w:r>
    </w:p>
    <w:p w14:paraId="484238C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（2）自《基金合同》生效之日起，根据法律法规和《基金合同》独立运用并管理基金财产；</w:t>
      </w:r>
    </w:p>
    <w:p w14:paraId="2F895A2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（3）依照《基金合同》收取基金管理费以及法律法规规定或中国证监会批准的其他费用；</w:t>
      </w:r>
    </w:p>
    <w:p w14:paraId="4354498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（4）销售基金份额；</w:t>
      </w:r>
    </w:p>
    <w:p w14:paraId="1396C00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w:t>
      </w:r>
      <w:bookmarkStart w:id="179" w:name="_Hlt88896155"/>
      <w:r>
        <w:rPr>
          <w:rFonts w:ascii="宋体" w:hAnsi="宋体" w:cs="Arial"/>
          <w:bCs/>
          <w:sz w:val="24"/>
        </w:rPr>
        <w:t>按照规定召集</w:t>
      </w:r>
      <w:bookmarkEnd w:id="179"/>
      <w:r>
        <w:rPr>
          <w:rFonts w:ascii="宋体" w:hAnsi="宋体" w:cs="Arial"/>
          <w:bCs/>
          <w:sz w:val="24"/>
        </w:rPr>
        <w:t>基金份额持有人大会；</w:t>
      </w:r>
    </w:p>
    <w:p w14:paraId="1952890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（6）依据《基金合同》及有关法律规定监督基金托管人，如认为基金托管人违反了《基金合同》及国家有关法律规定，应呈报中国证监会和其他监管部门，并采取必要措施保护基金投资者的利益；</w:t>
      </w:r>
    </w:p>
    <w:p w14:paraId="0E60281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（7）在基金托管人更换时，提名新的基金托管人；</w:t>
      </w:r>
    </w:p>
    <w:p w14:paraId="19EDC914"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lastRenderedPageBreak/>
        <w:t>（8）依据《基金合同》及有关法律规定决定基金收益的分配方案；</w:t>
      </w:r>
    </w:p>
    <w:p w14:paraId="5247C0E2"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 xml:space="preserve">（9）在《基金合同》约定的范围内，拒绝或暂停受理申购与赎回申请； </w:t>
      </w:r>
    </w:p>
    <w:p w14:paraId="25BF75EB"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（10）依照法律法规为基金的利益行使因基金财产投资所产生的权利；</w:t>
      </w:r>
    </w:p>
    <w:p w14:paraId="3D1B8DB7"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（11）在法律法规允许的前提下，为基金的利益依法为基金申请和办理融资、转融通证券出借等相关业务；</w:t>
      </w:r>
    </w:p>
    <w:p w14:paraId="65187B0C"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（12）以基金管理人的名义，代表基金份额持有人的利益行使诉讼权利或者实施其他法律行为；</w:t>
      </w:r>
    </w:p>
    <w:p w14:paraId="773565D4"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（13）选择、更换</w:t>
      </w:r>
      <w:r>
        <w:rPr>
          <w:rFonts w:ascii="宋体" w:hAnsi="宋体" w:cs="Arial" w:hint="eastAsia"/>
          <w:bCs/>
          <w:sz w:val="24"/>
        </w:rPr>
        <w:t>为本基金提供销售、支付结算、基金份额注册登记、估值、投资顾问、法律、会计、</w:t>
      </w:r>
      <w:r w:rsidRPr="000F1893">
        <w:rPr>
          <w:rFonts w:ascii="宋体" w:hAnsi="宋体" w:cs="Arial" w:hint="eastAsia"/>
          <w:bCs/>
          <w:sz w:val="24"/>
        </w:rPr>
        <w:t>证券经纪商</w:t>
      </w:r>
      <w:r>
        <w:rPr>
          <w:rFonts w:ascii="宋体" w:hAnsi="宋体" w:cs="Arial" w:hint="eastAsia"/>
          <w:bCs/>
          <w:sz w:val="24"/>
        </w:rPr>
        <w:t>等服务的机构并确定相关费率，对该等服务机构的相关行为进行监督和处理</w:t>
      </w:r>
      <w:r>
        <w:rPr>
          <w:rFonts w:ascii="宋体" w:hAnsi="宋体" w:cs="Arial"/>
          <w:bCs/>
          <w:sz w:val="24"/>
        </w:rPr>
        <w:t>；</w:t>
      </w:r>
    </w:p>
    <w:p w14:paraId="56907A7D" w14:textId="0A5F7812" w:rsidR="00C52815" w:rsidRDefault="005C44F4">
      <w:pPr>
        <w:spacing w:line="440" w:lineRule="atLeast"/>
        <w:ind w:firstLineChars="200" w:firstLine="480"/>
        <w:rPr>
          <w:rFonts w:ascii="宋体" w:hAnsi="宋体" w:cs="Arial"/>
          <w:bCs/>
          <w:sz w:val="24"/>
        </w:rPr>
      </w:pPr>
      <w:r>
        <w:rPr>
          <w:rFonts w:ascii="宋体" w:hAnsi="宋体" w:cs="Arial"/>
          <w:bCs/>
          <w:sz w:val="24"/>
        </w:rPr>
        <w:t>（</w:t>
      </w:r>
      <w:r>
        <w:rPr>
          <w:rFonts w:ascii="宋体" w:hAnsi="宋体" w:cs="Arial" w:hint="eastAsia"/>
          <w:bCs/>
          <w:sz w:val="24"/>
        </w:rPr>
        <w:t>1</w:t>
      </w:r>
      <w:r>
        <w:rPr>
          <w:rFonts w:ascii="宋体" w:hAnsi="宋体" w:cs="Arial"/>
          <w:bCs/>
          <w:sz w:val="24"/>
        </w:rPr>
        <w:t>4）在符合有关法律、法规、《基金合同》、相关证券交易所及登记结算机构相关业务规则的前提下，制订、修改并公布有关基金认购、申购、赎回及其他相关业务规则；</w:t>
      </w:r>
    </w:p>
    <w:p w14:paraId="0B8E0EA7" w14:textId="1EEC154F" w:rsidR="00975240" w:rsidRDefault="00975240" w:rsidP="009E6EDB">
      <w:pPr>
        <w:spacing w:line="440" w:lineRule="atLeast"/>
        <w:ind w:firstLineChars="200" w:firstLine="480"/>
        <w:rPr>
          <w:rFonts w:ascii="宋体" w:hAnsi="宋体" w:cs="Arial"/>
          <w:bCs/>
          <w:sz w:val="24"/>
        </w:rPr>
      </w:pPr>
      <w:r w:rsidRPr="00975240">
        <w:rPr>
          <w:rFonts w:ascii="宋体" w:hAnsi="宋体" w:cs="Arial" w:hint="eastAsia"/>
          <w:bCs/>
          <w:sz w:val="24"/>
        </w:rPr>
        <w:t>（15）若本基金采用证券经纪商交易结算模式，即本基金将通过基金管理人选定的证券经纪商进行场内交易，并由选定的证券经纪商作为结算参与人代理本基金进行结算，</w:t>
      </w:r>
      <w:proofErr w:type="gramStart"/>
      <w:r w:rsidRPr="00975240">
        <w:rPr>
          <w:rFonts w:ascii="宋体" w:hAnsi="宋体" w:cs="Arial" w:hint="eastAsia"/>
          <w:bCs/>
          <w:sz w:val="24"/>
        </w:rPr>
        <w:t>则基金</w:t>
      </w:r>
      <w:proofErr w:type="gramEnd"/>
      <w:r w:rsidRPr="00975240">
        <w:rPr>
          <w:rFonts w:ascii="宋体" w:hAnsi="宋体" w:cs="Arial" w:hint="eastAsia"/>
          <w:bCs/>
          <w:sz w:val="24"/>
        </w:rPr>
        <w:t>管理人、基金托管人须与选择的证券经纪商签订相关协议，约定证券经纪商应履行的相关交易结算和交易监控等职责；</w:t>
      </w:r>
    </w:p>
    <w:p w14:paraId="4DFE4A9C" w14:textId="380B7F9C" w:rsidR="00C52815" w:rsidRDefault="005C44F4" w:rsidP="009E6EDB">
      <w:pPr>
        <w:spacing w:line="440" w:lineRule="atLeast"/>
        <w:ind w:firstLineChars="200" w:firstLine="480"/>
        <w:rPr>
          <w:rFonts w:ascii="宋体" w:hAnsi="宋体" w:cs="Arial"/>
          <w:bCs/>
          <w:sz w:val="24"/>
        </w:rPr>
      </w:pPr>
      <w:r>
        <w:rPr>
          <w:rFonts w:ascii="宋体" w:hAnsi="宋体" w:cs="Arial"/>
          <w:bCs/>
          <w:sz w:val="24"/>
        </w:rPr>
        <w:t>（1</w:t>
      </w:r>
      <w:r w:rsidR="00975240">
        <w:rPr>
          <w:rFonts w:ascii="宋体" w:hAnsi="宋体" w:cs="Arial"/>
          <w:bCs/>
          <w:sz w:val="24"/>
        </w:rPr>
        <w:t>6</w:t>
      </w:r>
      <w:r>
        <w:rPr>
          <w:rFonts w:ascii="宋体" w:hAnsi="宋体" w:cs="Arial"/>
          <w:bCs/>
          <w:sz w:val="24"/>
        </w:rPr>
        <w:t>）法律法规及中国证监会规定的和《基金合同》约定的其他权利。</w:t>
      </w:r>
    </w:p>
    <w:p w14:paraId="254C404C"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2、根据《基金法》、《运作办法》及其他有关规定，基金管理人的义务包括但不限于：</w:t>
      </w:r>
    </w:p>
    <w:p w14:paraId="794B7CEC" w14:textId="77777777" w:rsidR="00C52815" w:rsidRDefault="005C44F4">
      <w:pPr>
        <w:spacing w:line="440" w:lineRule="atLeast"/>
        <w:ind w:firstLineChars="200" w:firstLine="480"/>
        <w:rPr>
          <w:rFonts w:ascii="宋体" w:hAnsi="宋体" w:cs="Arial"/>
          <w:bCs/>
          <w:sz w:val="24"/>
        </w:rPr>
      </w:pPr>
      <w:bookmarkStart w:id="180" w:name="_Toc523711669"/>
      <w:r>
        <w:rPr>
          <w:rFonts w:ascii="宋体" w:hAnsi="宋体" w:cs="Arial"/>
          <w:bCs/>
          <w:sz w:val="24"/>
        </w:rPr>
        <w:t>（1）依法募集资金，办理或者委托经中国证监会认定的其他机构代为办理基金份额的发售、申购、赎回和登记结算事宜；</w:t>
      </w:r>
    </w:p>
    <w:p w14:paraId="6004575A"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（2）办理基金备案手续；</w:t>
      </w:r>
    </w:p>
    <w:p w14:paraId="21980E02"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（3）自《基金合同》生效之日起，以诚实信用、谨慎勤勉的原则管理和运用基金财产；</w:t>
      </w:r>
    </w:p>
    <w:p w14:paraId="615E354C"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（4）配备足够的具有专业资格的人员进行基金投资分析、决策，以专业化的经营方式管理和运作基金财产；</w:t>
      </w:r>
    </w:p>
    <w:p w14:paraId="762F84E4"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（5）建立健全内部风险控制、监察与稽核、财务管理及人事管理等制度，保证所管理的基金财产和基金管理人的财产相互独立，对所管理的不同基金分别管理，分别记账，进行证券投资；</w:t>
      </w:r>
    </w:p>
    <w:p w14:paraId="180A0854" w14:textId="77777777" w:rsidR="00C52815" w:rsidRDefault="005C44F4" w:rsidP="00187905">
      <w:pPr>
        <w:spacing w:line="360" w:lineRule="auto"/>
        <w:ind w:firstLineChars="200" w:firstLine="480"/>
        <w:rPr>
          <w:rFonts w:ascii="宋体" w:hAnsi="宋体" w:cs="Arial"/>
          <w:bCs/>
          <w:sz w:val="24"/>
        </w:rPr>
      </w:pPr>
      <w:r>
        <w:rPr>
          <w:rFonts w:ascii="宋体" w:hAnsi="宋体" w:cs="Arial"/>
          <w:bCs/>
          <w:sz w:val="24"/>
        </w:rPr>
        <w:t>（6）除依据《基金法》、《基金合同》及其他有关规定外，不得利用基金财</w:t>
      </w:r>
      <w:r>
        <w:rPr>
          <w:rFonts w:ascii="宋体" w:hAnsi="宋体" w:cs="Arial"/>
          <w:bCs/>
          <w:sz w:val="24"/>
        </w:rPr>
        <w:lastRenderedPageBreak/>
        <w:t>产为自己及任何第三人谋取利益，不得委托第三人运作基金财产；</w:t>
      </w:r>
      <w:bookmarkStart w:id="181" w:name="_Hlt88897298"/>
      <w:bookmarkEnd w:id="181"/>
    </w:p>
    <w:p w14:paraId="53EE4EC3" w14:textId="77777777" w:rsidR="00C52815" w:rsidRDefault="005C44F4" w:rsidP="00187905">
      <w:pPr>
        <w:spacing w:line="360" w:lineRule="auto"/>
        <w:ind w:firstLineChars="200" w:firstLine="480"/>
        <w:rPr>
          <w:rFonts w:ascii="宋体" w:hAnsi="宋体" w:cs="Arial"/>
          <w:bCs/>
          <w:sz w:val="24"/>
        </w:rPr>
      </w:pPr>
      <w:r>
        <w:rPr>
          <w:rFonts w:ascii="宋体" w:hAnsi="宋体" w:cs="Arial"/>
          <w:bCs/>
          <w:sz w:val="24"/>
        </w:rPr>
        <w:t>（7）依法接受基金托管人的监督；</w:t>
      </w:r>
    </w:p>
    <w:p w14:paraId="78507D48" w14:textId="77777777" w:rsidR="00C52815" w:rsidRDefault="005C44F4" w:rsidP="00187905">
      <w:pPr>
        <w:spacing w:line="360" w:lineRule="auto"/>
        <w:ind w:firstLineChars="200" w:firstLine="480"/>
        <w:rPr>
          <w:rFonts w:ascii="宋体" w:hAnsi="宋体" w:cs="Arial"/>
          <w:bCs/>
          <w:sz w:val="24"/>
        </w:rPr>
      </w:pPr>
      <w:r>
        <w:rPr>
          <w:rFonts w:ascii="宋体" w:hAnsi="宋体" w:cs="Arial"/>
          <w:bCs/>
          <w:sz w:val="24"/>
        </w:rPr>
        <w:t>（8）采取适当合理的措施使计算基金份额认购价格、申购对价、赎回对价的方法符合《基金合同》等法律文件的规定，按有关规定计算并公告基金净值信息，确定基金份额申购、赎回对价，编制申购赎回清单；</w:t>
      </w:r>
    </w:p>
    <w:p w14:paraId="42E32951" w14:textId="77777777" w:rsidR="00C52815" w:rsidRDefault="005C44F4" w:rsidP="00187905">
      <w:pPr>
        <w:spacing w:line="360" w:lineRule="auto"/>
        <w:ind w:firstLineChars="200" w:firstLine="480"/>
        <w:rPr>
          <w:rFonts w:ascii="宋体" w:hAnsi="宋体" w:cs="Arial"/>
          <w:bCs/>
          <w:sz w:val="24"/>
        </w:rPr>
      </w:pPr>
      <w:r>
        <w:rPr>
          <w:rFonts w:ascii="宋体" w:hAnsi="宋体" w:cs="Arial"/>
          <w:bCs/>
          <w:sz w:val="24"/>
        </w:rPr>
        <w:t>（9）进行基金会计核算并编制基金财务会计报告；</w:t>
      </w:r>
    </w:p>
    <w:p w14:paraId="1FB4F380" w14:textId="77777777" w:rsidR="00C52815" w:rsidRDefault="005C44F4" w:rsidP="00187905">
      <w:pPr>
        <w:spacing w:line="360" w:lineRule="auto"/>
        <w:ind w:firstLineChars="200" w:firstLine="480"/>
        <w:rPr>
          <w:rFonts w:ascii="宋体" w:hAnsi="宋体" w:cs="Arial"/>
          <w:bCs/>
          <w:sz w:val="24"/>
        </w:rPr>
      </w:pPr>
      <w:r>
        <w:rPr>
          <w:rFonts w:ascii="宋体" w:hAnsi="宋体" w:cs="Arial"/>
          <w:bCs/>
          <w:sz w:val="24"/>
        </w:rPr>
        <w:t>（10）编制季度报告、中期报告和年度报告；</w:t>
      </w:r>
    </w:p>
    <w:p w14:paraId="7BEE3EA0" w14:textId="77777777" w:rsidR="00C52815" w:rsidRDefault="005C44F4" w:rsidP="00187905">
      <w:pPr>
        <w:spacing w:line="360" w:lineRule="auto"/>
        <w:ind w:firstLineChars="200" w:firstLine="480"/>
        <w:rPr>
          <w:rFonts w:ascii="宋体" w:hAnsi="宋体" w:cs="Arial"/>
          <w:bCs/>
          <w:sz w:val="24"/>
        </w:rPr>
      </w:pPr>
      <w:r>
        <w:rPr>
          <w:rFonts w:ascii="宋体" w:hAnsi="宋体" w:cs="Arial"/>
          <w:bCs/>
          <w:sz w:val="24"/>
        </w:rPr>
        <w:t>（11）严格按照《基金法》、《基金合同》及其他有关规定，履行信息披露及报告义务；</w:t>
      </w:r>
    </w:p>
    <w:p w14:paraId="7DE58B1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12）保守基金商业秘密，不泄露基金投资计划、投资意向等。除《基金法》、《基金合同》及其他有关规定另有规定或向有权机关或审计、法律等外部专业顾问提供外，在基金信息公开披露前应予保密，不向他人泄露；</w:t>
      </w:r>
    </w:p>
    <w:p w14:paraId="6A16D5A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（13）按《基金合同》的约定确定基金收益分配方案，及时向基金份额持有人分配基金收益；</w:t>
      </w:r>
    </w:p>
    <w:p w14:paraId="090EC30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（14）按规定受理申购与赎回申请，及时、足额支付赎回对价；</w:t>
      </w:r>
    </w:p>
    <w:p w14:paraId="165CC43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（15）依据《基金法》、《基金合同》及其他有关规定召集基金份额持有人大会或配合基金托管人、基金份额持有人依法召集基金份额持有人大会；</w:t>
      </w:r>
    </w:p>
    <w:p w14:paraId="7FDFBE8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（16）按规定保存基金财产管理业务活动的会计账册、报表、记录和其他相关资料，</w:t>
      </w:r>
      <w:r>
        <w:rPr>
          <w:rFonts w:ascii="宋体" w:hAnsi="宋体" w:cs="Arial"/>
          <w:color w:val="000000"/>
          <w:sz w:val="24"/>
        </w:rPr>
        <w:t>保存期限不低于法律法规规定的最低年限</w:t>
      </w:r>
      <w:r>
        <w:rPr>
          <w:rFonts w:ascii="宋体" w:hAnsi="宋体" w:cs="Arial"/>
          <w:bCs/>
          <w:sz w:val="24"/>
        </w:rPr>
        <w:t>；</w:t>
      </w:r>
    </w:p>
    <w:p w14:paraId="459C3CD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5D800F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（18）组织并参加基金财产清算小组，参与基金财产的保管、清理、估价、变现和分配；</w:t>
      </w:r>
    </w:p>
    <w:p w14:paraId="1AA9E84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（19）面临解散、依法被撤销或者被依法宣告破产时，及时报告中国证监会并通知基金托管人；</w:t>
      </w:r>
    </w:p>
    <w:p w14:paraId="0341093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（20）因违反《基金合同》导致基金财产的损失或损害基金份额持有人合法权益时，应当承担赔偿责任，其赔偿责任不因其退任而免除；</w:t>
      </w:r>
    </w:p>
    <w:p w14:paraId="710B74D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（21）监督基金托管人按法律法规和《基金合同》规定履行自己的义务，</w:t>
      </w:r>
      <w:r>
        <w:rPr>
          <w:rFonts w:ascii="宋体" w:hAnsi="宋体" w:cs="Arial"/>
          <w:bCs/>
          <w:sz w:val="24"/>
        </w:rPr>
        <w:lastRenderedPageBreak/>
        <w:t>基金托管人违反《基金合同》造成基金财产损失时，基金管理人应为基金份额持有人利益向基金托管人追偿；</w:t>
      </w:r>
    </w:p>
    <w:p w14:paraId="5F8F6C7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（22）当基金管理人将其义务委托第三方处理时，应当对第三方处理有关基金事务的行为承担责任；</w:t>
      </w:r>
    </w:p>
    <w:p w14:paraId="1C4055A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（23）以基金管理人名义，代表基金份额持有人利益行使诉讼权利或实施其他法律行为；</w:t>
      </w:r>
    </w:p>
    <w:p w14:paraId="6B232516" w14:textId="7949E558" w:rsidR="00C52815" w:rsidRDefault="005C44F4">
      <w:pPr>
        <w:spacing w:line="360" w:lineRule="auto"/>
        <w:ind w:firstLineChars="200" w:firstLine="480"/>
        <w:rPr>
          <w:rFonts w:ascii="宋体" w:hAnsi="宋体" w:cs="Arial"/>
          <w:b/>
          <w:bCs/>
          <w:sz w:val="24"/>
        </w:rPr>
      </w:pPr>
      <w:r>
        <w:rPr>
          <w:rFonts w:ascii="宋体" w:hAnsi="宋体" w:cs="Arial"/>
          <w:bCs/>
          <w:sz w:val="24"/>
        </w:rPr>
        <w:t>（24）基金管理人在募集期满未能达到基金</w:t>
      </w:r>
      <w:bookmarkStart w:id="182" w:name="_Hlt88823209"/>
      <w:bookmarkEnd w:id="182"/>
      <w:r>
        <w:rPr>
          <w:rFonts w:ascii="宋体" w:hAnsi="宋体" w:cs="Arial"/>
          <w:bCs/>
          <w:sz w:val="24"/>
        </w:rPr>
        <w:t>的备案条件，《基金合同》不能生效，基金管理人应将已</w:t>
      </w:r>
      <w:r w:rsidR="00542B05">
        <w:rPr>
          <w:rFonts w:ascii="宋体" w:hAnsi="宋体" w:cs="Arial"/>
          <w:bCs/>
          <w:sz w:val="24"/>
        </w:rPr>
        <w:t>交纳</w:t>
      </w:r>
      <w:r>
        <w:rPr>
          <w:rFonts w:ascii="宋体" w:hAnsi="宋体" w:cs="Arial"/>
          <w:bCs/>
          <w:sz w:val="24"/>
        </w:rPr>
        <w:t>的认购款项（加计银行同期活期存款利息）在基金募集期结束后30日内退还基金认购人</w:t>
      </w:r>
      <w:r w:rsidR="00542B05">
        <w:rPr>
          <w:rFonts w:hint="eastAsia"/>
          <w:bCs/>
          <w:sz w:val="24"/>
        </w:rPr>
        <w:t>，</w:t>
      </w:r>
      <w:r w:rsidR="00542B05">
        <w:rPr>
          <w:bCs/>
          <w:sz w:val="24"/>
        </w:rPr>
        <w:t>同</w:t>
      </w:r>
      <w:r w:rsidR="00542B05">
        <w:rPr>
          <w:rFonts w:hint="eastAsia"/>
          <w:bCs/>
          <w:sz w:val="24"/>
        </w:rPr>
        <w:t>时基金募集期间网下股票认购所冻结的股票予以解冻并退还投资人</w:t>
      </w:r>
      <w:r>
        <w:rPr>
          <w:rFonts w:ascii="宋体" w:hAnsi="宋体" w:cs="Arial"/>
          <w:bCs/>
          <w:sz w:val="24"/>
        </w:rPr>
        <w:t>；</w:t>
      </w:r>
    </w:p>
    <w:p w14:paraId="3E529E0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（25）执行生效的基金份额持有人大会的决议；</w:t>
      </w:r>
    </w:p>
    <w:p w14:paraId="02852EB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（26）建立并保存基金份额持有人名册；</w:t>
      </w:r>
    </w:p>
    <w:p w14:paraId="75B77A53" w14:textId="0DA2EACA" w:rsidR="00D9141A" w:rsidRPr="00D9141A" w:rsidRDefault="00D9141A">
      <w:pPr>
        <w:spacing w:line="360" w:lineRule="auto"/>
        <w:ind w:firstLineChars="200" w:firstLine="480"/>
        <w:rPr>
          <w:rFonts w:ascii="宋体" w:hAnsi="宋体" w:cs="Arial"/>
          <w:bCs/>
          <w:sz w:val="24"/>
        </w:rPr>
      </w:pPr>
      <w:r>
        <w:rPr>
          <w:rFonts w:hint="eastAsia"/>
          <w:bCs/>
          <w:sz w:val="24"/>
        </w:rPr>
        <w:t>（</w:t>
      </w:r>
      <w:r>
        <w:rPr>
          <w:rFonts w:hint="eastAsia"/>
          <w:bCs/>
          <w:sz w:val="24"/>
        </w:rPr>
        <w:t>2</w:t>
      </w:r>
      <w:r w:rsidR="00D745DA">
        <w:rPr>
          <w:bCs/>
          <w:sz w:val="24"/>
        </w:rPr>
        <w:t>7</w:t>
      </w:r>
      <w:r>
        <w:rPr>
          <w:rFonts w:hint="eastAsia"/>
          <w:bCs/>
          <w:sz w:val="24"/>
        </w:rPr>
        <w:t>）</w:t>
      </w:r>
      <w:r w:rsidRPr="00D92635">
        <w:rPr>
          <w:rFonts w:hint="eastAsia"/>
          <w:bCs/>
          <w:sz w:val="24"/>
        </w:rPr>
        <w:t>按照《中华人民共和国反洗钱法》等有关反洗钱的法律法规和监管要求履行反洗钱义务；</w:t>
      </w:r>
    </w:p>
    <w:p w14:paraId="0C14131F" w14:textId="3E160D37" w:rsidR="00C52815" w:rsidRDefault="005C44F4">
      <w:pPr>
        <w:spacing w:line="360" w:lineRule="auto"/>
        <w:ind w:firstLineChars="200" w:firstLine="480"/>
        <w:rPr>
          <w:rFonts w:ascii="宋体" w:hAnsi="宋体" w:cs="Arial"/>
          <w:bCs/>
          <w:sz w:val="24"/>
        </w:rPr>
      </w:pPr>
      <w:r>
        <w:rPr>
          <w:rFonts w:ascii="宋体" w:hAnsi="宋体" w:cs="Arial" w:hint="eastAsia"/>
          <w:bCs/>
          <w:sz w:val="24"/>
        </w:rPr>
        <w:t>（2</w:t>
      </w:r>
      <w:r w:rsidR="00D745DA">
        <w:rPr>
          <w:rFonts w:ascii="宋体" w:hAnsi="宋体" w:cs="Arial"/>
          <w:bCs/>
          <w:sz w:val="24"/>
        </w:rPr>
        <w:t>8</w:t>
      </w:r>
      <w:r>
        <w:rPr>
          <w:rFonts w:ascii="宋体" w:hAnsi="宋体" w:cs="Arial" w:hint="eastAsia"/>
          <w:bCs/>
          <w:sz w:val="24"/>
        </w:rPr>
        <w:t>）</w:t>
      </w:r>
      <w:r>
        <w:rPr>
          <w:rFonts w:ascii="宋体" w:hAnsi="宋体" w:cs="Arial"/>
          <w:bCs/>
          <w:sz w:val="24"/>
        </w:rPr>
        <w:t>法律法规及中国证监会规定的和《基金合同》约定的其他义务。</w:t>
      </w:r>
    </w:p>
    <w:p w14:paraId="792E5038" w14:textId="77777777" w:rsidR="00C52815" w:rsidRDefault="005C44F4">
      <w:pPr>
        <w:spacing w:line="360" w:lineRule="auto"/>
        <w:ind w:firstLineChars="200" w:firstLine="480"/>
        <w:rPr>
          <w:rFonts w:ascii="宋体" w:hAnsi="宋体" w:cs="Arial"/>
          <w:bCs/>
          <w:sz w:val="24"/>
        </w:rPr>
      </w:pPr>
      <w:bookmarkStart w:id="183" w:name="_Toc57530240"/>
      <w:bookmarkStart w:id="184" w:name="_Toc79392581"/>
      <w:bookmarkStart w:id="185" w:name="_Toc15118238"/>
      <w:r>
        <w:rPr>
          <w:rFonts w:ascii="宋体" w:hAnsi="宋体" w:cs="Arial"/>
          <w:bCs/>
          <w:sz w:val="24"/>
        </w:rPr>
        <w:t>二、基金托管人</w:t>
      </w:r>
      <w:bookmarkEnd w:id="180"/>
      <w:bookmarkEnd w:id="183"/>
      <w:bookmarkEnd w:id="184"/>
      <w:bookmarkEnd w:id="185"/>
    </w:p>
    <w:p w14:paraId="00C86AE2" w14:textId="77777777" w:rsidR="00C52815" w:rsidRDefault="005C44F4">
      <w:pPr>
        <w:spacing w:line="360" w:lineRule="auto"/>
        <w:ind w:firstLineChars="200" w:firstLine="480"/>
        <w:rPr>
          <w:rFonts w:ascii="宋体" w:hAnsi="宋体" w:cs="Arial"/>
          <w:bCs/>
          <w:sz w:val="24"/>
        </w:rPr>
      </w:pPr>
      <w:bookmarkStart w:id="186" w:name="_Toc15118239"/>
      <w:r>
        <w:rPr>
          <w:rFonts w:ascii="宋体" w:hAnsi="宋体" w:cs="Arial"/>
          <w:bCs/>
          <w:sz w:val="24"/>
        </w:rPr>
        <w:t>（一）</w:t>
      </w:r>
      <w:r>
        <w:rPr>
          <w:rFonts w:ascii="宋体" w:hAnsi="宋体" w:cs="Arial"/>
          <w:bCs/>
          <w:sz w:val="24"/>
        </w:rPr>
        <w:tab/>
        <w:t>基金托管人简况</w:t>
      </w:r>
      <w:bookmarkEnd w:id="186"/>
    </w:p>
    <w:p w14:paraId="5862EAC9" w14:textId="2D2E71F7" w:rsidR="00C06588" w:rsidRPr="00C06588" w:rsidRDefault="00C06588" w:rsidP="00C06588">
      <w:pPr>
        <w:spacing w:line="360" w:lineRule="auto"/>
        <w:ind w:firstLineChars="200" w:firstLine="480"/>
        <w:rPr>
          <w:rFonts w:ascii="宋体" w:hAnsi="宋体" w:cs="Arial"/>
          <w:bCs/>
          <w:sz w:val="24"/>
        </w:rPr>
      </w:pPr>
      <w:r w:rsidRPr="00C06588">
        <w:rPr>
          <w:rFonts w:ascii="宋体" w:hAnsi="宋体" w:cs="Arial" w:hint="eastAsia"/>
          <w:bCs/>
          <w:sz w:val="24"/>
        </w:rPr>
        <w:t>名称：中国建设银行股份有限公司</w:t>
      </w:r>
    </w:p>
    <w:p w14:paraId="65D61694" w14:textId="77777777" w:rsidR="00C06588" w:rsidRPr="00C06588" w:rsidRDefault="00C06588" w:rsidP="00C06588">
      <w:pPr>
        <w:spacing w:line="360" w:lineRule="auto"/>
        <w:ind w:firstLineChars="200" w:firstLine="480"/>
        <w:rPr>
          <w:rFonts w:ascii="宋体" w:hAnsi="宋体" w:cs="Arial"/>
          <w:bCs/>
          <w:sz w:val="24"/>
        </w:rPr>
      </w:pPr>
      <w:r w:rsidRPr="00C06588">
        <w:rPr>
          <w:rFonts w:ascii="宋体" w:hAnsi="宋体" w:cs="Arial" w:hint="eastAsia"/>
          <w:bCs/>
          <w:sz w:val="24"/>
        </w:rPr>
        <w:t>住所：北京市西城区金融大街25号</w:t>
      </w:r>
    </w:p>
    <w:p w14:paraId="612D2BBE" w14:textId="77777777" w:rsidR="00C06588" w:rsidRPr="00C06588" w:rsidRDefault="00C06588" w:rsidP="00C06588">
      <w:pPr>
        <w:spacing w:line="360" w:lineRule="auto"/>
        <w:ind w:firstLineChars="200" w:firstLine="480"/>
        <w:rPr>
          <w:rFonts w:ascii="宋体" w:hAnsi="宋体" w:cs="Arial"/>
          <w:bCs/>
          <w:sz w:val="24"/>
        </w:rPr>
      </w:pPr>
      <w:r w:rsidRPr="00C06588">
        <w:rPr>
          <w:rFonts w:ascii="宋体" w:hAnsi="宋体" w:cs="Arial" w:hint="eastAsia"/>
          <w:bCs/>
          <w:sz w:val="24"/>
        </w:rPr>
        <w:t>办公地址：北京市西城区闹市口大街1号院1号楼</w:t>
      </w:r>
    </w:p>
    <w:p w14:paraId="1CF3FB28" w14:textId="77777777" w:rsidR="00C06588" w:rsidRPr="00C06588" w:rsidRDefault="00C06588" w:rsidP="00C06588">
      <w:pPr>
        <w:spacing w:line="360" w:lineRule="auto"/>
        <w:ind w:firstLineChars="200" w:firstLine="480"/>
        <w:rPr>
          <w:rFonts w:ascii="宋体" w:hAnsi="宋体" w:cs="Arial"/>
          <w:bCs/>
          <w:sz w:val="24"/>
        </w:rPr>
      </w:pPr>
      <w:r w:rsidRPr="00C06588">
        <w:rPr>
          <w:rFonts w:ascii="宋体" w:hAnsi="宋体" w:cs="Arial" w:hint="eastAsia"/>
          <w:bCs/>
          <w:sz w:val="24"/>
        </w:rPr>
        <w:t>法定代表人：张金良</w:t>
      </w:r>
    </w:p>
    <w:p w14:paraId="56F6ECEB" w14:textId="77777777" w:rsidR="00C06588" w:rsidRPr="00C06588" w:rsidRDefault="00C06588" w:rsidP="00C06588">
      <w:pPr>
        <w:spacing w:line="360" w:lineRule="auto"/>
        <w:ind w:firstLineChars="200" w:firstLine="480"/>
        <w:rPr>
          <w:rFonts w:ascii="宋体" w:hAnsi="宋体" w:cs="Arial"/>
          <w:bCs/>
          <w:sz w:val="24"/>
        </w:rPr>
      </w:pPr>
      <w:r w:rsidRPr="00C06588">
        <w:rPr>
          <w:rFonts w:ascii="宋体" w:hAnsi="宋体" w:cs="Arial" w:hint="eastAsia"/>
          <w:bCs/>
          <w:sz w:val="24"/>
        </w:rPr>
        <w:t>成立时间：2004年09月17日</w:t>
      </w:r>
    </w:p>
    <w:p w14:paraId="59EBE6D6" w14:textId="77777777" w:rsidR="00C06588" w:rsidRPr="00C06588" w:rsidRDefault="00C06588" w:rsidP="00C06588">
      <w:pPr>
        <w:spacing w:line="360" w:lineRule="auto"/>
        <w:ind w:firstLineChars="200" w:firstLine="480"/>
        <w:rPr>
          <w:rFonts w:ascii="宋体" w:hAnsi="宋体" w:cs="Arial"/>
          <w:bCs/>
          <w:sz w:val="24"/>
        </w:rPr>
      </w:pPr>
      <w:r w:rsidRPr="00C06588">
        <w:rPr>
          <w:rFonts w:ascii="宋体" w:hAnsi="宋体" w:cs="Arial" w:hint="eastAsia"/>
          <w:bCs/>
          <w:sz w:val="24"/>
        </w:rPr>
        <w:t>组织形式：股份有限公司</w:t>
      </w:r>
    </w:p>
    <w:p w14:paraId="4A03760F" w14:textId="77777777" w:rsidR="00C06588" w:rsidRPr="00C06588" w:rsidRDefault="00C06588" w:rsidP="00C06588">
      <w:pPr>
        <w:spacing w:line="360" w:lineRule="auto"/>
        <w:ind w:firstLineChars="200" w:firstLine="480"/>
        <w:rPr>
          <w:rFonts w:ascii="宋体" w:hAnsi="宋体" w:cs="Arial"/>
          <w:bCs/>
          <w:sz w:val="24"/>
        </w:rPr>
      </w:pPr>
      <w:r w:rsidRPr="00C06588">
        <w:rPr>
          <w:rFonts w:ascii="宋体" w:hAnsi="宋体" w:cs="Arial" w:hint="eastAsia"/>
          <w:bCs/>
          <w:sz w:val="24"/>
        </w:rPr>
        <w:t>注册资本：</w:t>
      </w:r>
      <w:proofErr w:type="gramStart"/>
      <w:r w:rsidRPr="00C06588">
        <w:rPr>
          <w:rFonts w:ascii="宋体" w:hAnsi="宋体" w:cs="Arial" w:hint="eastAsia"/>
          <w:bCs/>
          <w:sz w:val="24"/>
        </w:rPr>
        <w:t>贰仟伍佰亿壹仟零玖拾柒万柒仟肆佰捌拾陆</w:t>
      </w:r>
      <w:proofErr w:type="gramEnd"/>
      <w:r w:rsidRPr="00C06588">
        <w:rPr>
          <w:rFonts w:ascii="宋体" w:hAnsi="宋体" w:cs="Arial" w:hint="eastAsia"/>
          <w:bCs/>
          <w:sz w:val="24"/>
        </w:rPr>
        <w:t>元整</w:t>
      </w:r>
    </w:p>
    <w:p w14:paraId="01D500E2" w14:textId="77777777" w:rsidR="00C06588" w:rsidRPr="00C06588" w:rsidRDefault="00C06588" w:rsidP="00C06588">
      <w:pPr>
        <w:spacing w:line="360" w:lineRule="auto"/>
        <w:ind w:firstLineChars="200" w:firstLine="480"/>
        <w:rPr>
          <w:rFonts w:ascii="宋体" w:hAnsi="宋体" w:cs="Arial"/>
          <w:bCs/>
          <w:sz w:val="24"/>
        </w:rPr>
      </w:pPr>
      <w:r w:rsidRPr="00C06588">
        <w:rPr>
          <w:rFonts w:ascii="宋体" w:hAnsi="宋体" w:cs="Arial" w:hint="eastAsia"/>
          <w:bCs/>
          <w:sz w:val="24"/>
        </w:rPr>
        <w:t>存续期间：持续经营</w:t>
      </w:r>
    </w:p>
    <w:p w14:paraId="638F9300" w14:textId="77777777" w:rsidR="00C06588" w:rsidRPr="00C06588" w:rsidRDefault="00C06588" w:rsidP="00C06588">
      <w:pPr>
        <w:spacing w:line="360" w:lineRule="auto"/>
        <w:ind w:firstLineChars="200" w:firstLine="480"/>
        <w:rPr>
          <w:rFonts w:ascii="宋体" w:hAnsi="宋体" w:cs="Arial"/>
          <w:bCs/>
          <w:sz w:val="24"/>
        </w:rPr>
      </w:pPr>
      <w:r w:rsidRPr="00C06588">
        <w:rPr>
          <w:rFonts w:ascii="宋体" w:hAnsi="宋体" w:cs="Arial" w:hint="eastAsia"/>
          <w:bCs/>
          <w:sz w:val="24"/>
        </w:rPr>
        <w:t>基金托管资格批文及文号：中国证监会</w:t>
      </w:r>
      <w:proofErr w:type="gramStart"/>
      <w:r w:rsidRPr="00C06588">
        <w:rPr>
          <w:rFonts w:ascii="宋体" w:hAnsi="宋体" w:cs="Arial" w:hint="eastAsia"/>
          <w:bCs/>
          <w:sz w:val="24"/>
        </w:rPr>
        <w:t>证监基字</w:t>
      </w:r>
      <w:proofErr w:type="gramEnd"/>
      <w:r w:rsidRPr="00C06588">
        <w:rPr>
          <w:rFonts w:ascii="宋体" w:hAnsi="宋体" w:cs="Arial" w:hint="eastAsia"/>
          <w:bCs/>
          <w:sz w:val="24"/>
        </w:rPr>
        <w:t>[1998]12号</w:t>
      </w:r>
    </w:p>
    <w:p w14:paraId="55C5F020" w14:textId="6A0F88DA" w:rsidR="00A2437D" w:rsidRDefault="00C06588" w:rsidP="00C06588">
      <w:pPr>
        <w:spacing w:line="360" w:lineRule="auto"/>
        <w:ind w:firstLineChars="200" w:firstLine="480"/>
        <w:rPr>
          <w:rFonts w:ascii="宋体" w:hAnsi="宋体" w:cs="Arial"/>
          <w:bCs/>
          <w:sz w:val="24"/>
        </w:rPr>
      </w:pPr>
      <w:r w:rsidRPr="00C06588">
        <w:rPr>
          <w:rFonts w:ascii="宋体" w:hAnsi="宋体" w:cs="Arial" w:hint="eastAsia"/>
          <w:bCs/>
          <w:sz w:val="24"/>
        </w:rPr>
        <w:t>联系电话：(021)6063 7103</w:t>
      </w:r>
      <w:r w:rsidDel="00C06588">
        <w:rPr>
          <w:rFonts w:ascii="宋体" w:hAnsi="宋体" w:cs="Arial"/>
          <w:bCs/>
          <w:sz w:val="24"/>
        </w:rPr>
        <w:t xml:space="preserve"> </w:t>
      </w:r>
    </w:p>
    <w:p w14:paraId="62DE95F2" w14:textId="77777777" w:rsidR="00C52815" w:rsidRDefault="005C44F4">
      <w:pPr>
        <w:spacing w:line="360" w:lineRule="auto"/>
        <w:ind w:firstLineChars="200" w:firstLine="480"/>
        <w:rPr>
          <w:rFonts w:ascii="宋体" w:hAnsi="宋体" w:cs="Arial"/>
          <w:bCs/>
          <w:sz w:val="24"/>
        </w:rPr>
      </w:pPr>
      <w:bookmarkStart w:id="187" w:name="_Toc15118240"/>
      <w:r>
        <w:rPr>
          <w:rFonts w:ascii="宋体" w:hAnsi="宋体" w:cs="Arial"/>
          <w:bCs/>
          <w:sz w:val="24"/>
        </w:rPr>
        <w:t>（二）</w:t>
      </w:r>
      <w:r>
        <w:rPr>
          <w:rFonts w:ascii="宋体" w:hAnsi="宋体" w:cs="Arial"/>
          <w:bCs/>
          <w:sz w:val="24"/>
        </w:rPr>
        <w:tab/>
        <w:t>基金托管人的权利与义务</w:t>
      </w:r>
      <w:bookmarkEnd w:id="187"/>
    </w:p>
    <w:p w14:paraId="102B5AB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1、根据《基金法》、《运作办法》及其他有关规定，基金托管人的权利包括</w:t>
      </w:r>
      <w:r>
        <w:rPr>
          <w:rFonts w:ascii="宋体" w:hAnsi="宋体" w:cs="Arial"/>
          <w:bCs/>
          <w:sz w:val="24"/>
        </w:rPr>
        <w:lastRenderedPageBreak/>
        <w:t>但不限于：</w:t>
      </w:r>
    </w:p>
    <w:p w14:paraId="6A43738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（1）自《基金合同》生效之日起，依法</w:t>
      </w:r>
      <w:proofErr w:type="gramStart"/>
      <w:r>
        <w:rPr>
          <w:rFonts w:ascii="宋体" w:hAnsi="宋体" w:cs="Arial"/>
          <w:bCs/>
          <w:sz w:val="24"/>
        </w:rPr>
        <w:t>律法规</w:t>
      </w:r>
      <w:proofErr w:type="gramEnd"/>
      <w:r>
        <w:rPr>
          <w:rFonts w:ascii="宋体" w:hAnsi="宋体" w:cs="Arial"/>
          <w:bCs/>
          <w:sz w:val="24"/>
        </w:rPr>
        <w:t>和《基金合同》的规定安全保管基金财产；</w:t>
      </w:r>
    </w:p>
    <w:p w14:paraId="38B498A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（2）依《基金合同》约定获得基金托管费以及法律法规规定或监管部门批准的其他费用；</w:t>
      </w:r>
    </w:p>
    <w:p w14:paraId="0350190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2DBFDE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（4）根据相关市场规则，为基金开设或注销证券账户、资金账户等投资所需账户，为基金办理证券、期货交易资金清算；</w:t>
      </w:r>
    </w:p>
    <w:p w14:paraId="3CA845C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（5）提议召开或召集基金份额持有人大会；</w:t>
      </w:r>
    </w:p>
    <w:p w14:paraId="1E8A09B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（6）在基金管理人更换时，提名新的基金管理人；</w:t>
      </w:r>
    </w:p>
    <w:p w14:paraId="30A34ED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（7）法律法规及中国证监会规定的和《基金合同》约定的其他权利。</w:t>
      </w:r>
    </w:p>
    <w:p w14:paraId="0414E2D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2、根据《基金法》、《运作办法》及其他有关规定，基金托管人的义务包括但不限于：</w:t>
      </w:r>
    </w:p>
    <w:p w14:paraId="304EAC7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（1）以诚实信用、勤勉尽责的原则持有并安全保管基金财产；</w:t>
      </w:r>
    </w:p>
    <w:p w14:paraId="553C309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（2）设立专门的基金托管部门，具有符合要求的营业场所，配备足够的、合格的熟悉基金托管业务的专职人员，负责基金财产托管事宜；</w:t>
      </w:r>
    </w:p>
    <w:p w14:paraId="01201FD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8733E6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（4）除依据《基金法》、《基金合同》及其他有关规定外，不得利用基金财产为自己及任何第三人谋取利益，不得委托第三人托管基金财产；</w:t>
      </w:r>
    </w:p>
    <w:p w14:paraId="082E869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（5）保管由基金管理人代表基金签订的与基金有关的重大合同及有关凭证；</w:t>
      </w:r>
    </w:p>
    <w:p w14:paraId="7BEED7A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（6）按规定开设或注销基金财产的资金账户、证券账户及投资所需的账户，按照《基金合同》的约定，根据基金管理人的投资指令，及时办理清算、交割事宜；</w:t>
      </w:r>
    </w:p>
    <w:p w14:paraId="14D3F85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（7）保守基金商业秘密，除《基金法》、《基金合同》及其他有关规定另有</w:t>
      </w:r>
      <w:r>
        <w:rPr>
          <w:rFonts w:ascii="宋体" w:hAnsi="宋体" w:cs="Arial"/>
          <w:bCs/>
          <w:sz w:val="24"/>
        </w:rPr>
        <w:lastRenderedPageBreak/>
        <w:t>规定或向有权机关或审计、法律等外部专业顾问提供外，在基金信息公开披露前予以保密，不得向他人泄露；</w:t>
      </w:r>
    </w:p>
    <w:p w14:paraId="22EBC16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（8）复核、审查基金管理人计算的基金资产净值、基金份额净值、基金份额申购、赎回对价的现金部分；</w:t>
      </w:r>
    </w:p>
    <w:p w14:paraId="4967806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（9）办理与基金托管业务活动有关的信息披露事项；</w:t>
      </w:r>
    </w:p>
    <w:p w14:paraId="22B5F68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9BEEC89" w14:textId="4D199134" w:rsidR="00C52815" w:rsidRDefault="005C44F4">
      <w:pPr>
        <w:spacing w:line="360" w:lineRule="auto"/>
        <w:ind w:firstLineChars="200" w:firstLine="480"/>
        <w:rPr>
          <w:rFonts w:ascii="宋体" w:hAnsi="宋体" w:cs="Arial"/>
          <w:bCs/>
          <w:sz w:val="24"/>
        </w:rPr>
      </w:pPr>
      <w:r>
        <w:rPr>
          <w:rFonts w:ascii="宋体" w:hAnsi="宋体" w:cs="Arial"/>
          <w:bCs/>
          <w:sz w:val="24"/>
        </w:rPr>
        <w:t>（11）保存基金托管业务活动的记录、账册、报表和其他相关资料，</w:t>
      </w:r>
      <w:r>
        <w:rPr>
          <w:rFonts w:ascii="宋体" w:hAnsi="宋体" w:cs="Arial"/>
          <w:color w:val="000000"/>
          <w:sz w:val="24"/>
        </w:rPr>
        <w:t>保存期限</w:t>
      </w:r>
      <w:r w:rsidR="005F34D1" w:rsidRPr="005F34D1">
        <w:rPr>
          <w:rFonts w:ascii="宋体" w:hAnsi="宋体" w:cs="Arial" w:hint="eastAsia"/>
          <w:color w:val="000000"/>
          <w:sz w:val="24"/>
        </w:rPr>
        <w:t>按照法律法规的规定执行</w:t>
      </w:r>
      <w:r>
        <w:rPr>
          <w:rFonts w:ascii="宋体" w:hAnsi="宋体" w:cs="Arial"/>
          <w:bCs/>
          <w:sz w:val="24"/>
        </w:rPr>
        <w:t>；</w:t>
      </w:r>
    </w:p>
    <w:p w14:paraId="6C8521A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（12）保存从基金管理人或其委托的登记结算机构处接收的基金份额持有人名册；</w:t>
      </w:r>
    </w:p>
    <w:p w14:paraId="4A68F45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（13）按规定制作相关账册并与基金管理人核对；</w:t>
      </w:r>
    </w:p>
    <w:p w14:paraId="37734E7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（14）依据基金管理人的指令或有关规定向基金份额持有人支付基金收益和赎回对价的现金部分；</w:t>
      </w:r>
    </w:p>
    <w:p w14:paraId="5D959A9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（15）依据《基金法》、《基金合同》及其他有关规定，召集基金份额持有人大会或配合基金管理人、基金份额持有人依法召集基金份额持有人大会；</w:t>
      </w:r>
    </w:p>
    <w:p w14:paraId="4F58ACF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（16）按照法律法规和《基金合同》的规定监督基金管理人的投资运作；</w:t>
      </w:r>
    </w:p>
    <w:p w14:paraId="17F10B6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（17）参加基金财产清算小组，参与基金财产的保管、清理、估价、变现和分配；</w:t>
      </w:r>
    </w:p>
    <w:p w14:paraId="154E34D3" w14:textId="246C2E8E" w:rsidR="00C52815" w:rsidRDefault="005C44F4">
      <w:pPr>
        <w:spacing w:line="360" w:lineRule="auto"/>
        <w:ind w:firstLineChars="200" w:firstLine="480"/>
        <w:rPr>
          <w:rFonts w:ascii="宋体" w:hAnsi="宋体" w:cs="Arial"/>
          <w:bCs/>
          <w:sz w:val="24"/>
        </w:rPr>
      </w:pPr>
      <w:r>
        <w:rPr>
          <w:rFonts w:ascii="宋体" w:hAnsi="宋体" w:cs="Arial"/>
          <w:bCs/>
          <w:sz w:val="24"/>
        </w:rPr>
        <w:t>（18）面临解散、依法被撤销或者被依法宣告破产时，及时报告中国证监会</w:t>
      </w:r>
      <w:r w:rsidR="00542B05">
        <w:rPr>
          <w:rFonts w:ascii="宋体" w:hAnsi="宋体" w:cs="Arial"/>
          <w:bCs/>
          <w:sz w:val="24"/>
        </w:rPr>
        <w:t>和银行业监督管理机构</w:t>
      </w:r>
      <w:r>
        <w:rPr>
          <w:rFonts w:ascii="宋体" w:hAnsi="宋体" w:cs="Arial"/>
          <w:bCs/>
          <w:sz w:val="24"/>
        </w:rPr>
        <w:t>，并通知基金管理人；</w:t>
      </w:r>
    </w:p>
    <w:p w14:paraId="744D390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（19）因违反《基金合同》导致基金财产损失时，应承担赔偿责任，其赔偿责任不因其退任而免除；</w:t>
      </w:r>
    </w:p>
    <w:p w14:paraId="51927C9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（20）按规定监督基金管理人按法律法规和《基金合同》规定履行自己的义务，基金管理人因违反《基金合同》造成基金财产损失时，应为基金份额持有人利益向基金管理人追偿</w:t>
      </w:r>
      <w:bookmarkStart w:id="188" w:name="_Hlt88825668"/>
      <w:bookmarkEnd w:id="188"/>
      <w:r>
        <w:rPr>
          <w:rFonts w:ascii="宋体" w:hAnsi="宋体" w:cs="Arial"/>
          <w:bCs/>
          <w:sz w:val="24"/>
        </w:rPr>
        <w:t>；</w:t>
      </w:r>
    </w:p>
    <w:p w14:paraId="7BC38B97" w14:textId="0016AB79" w:rsidR="00C52815" w:rsidRDefault="005C44F4">
      <w:pPr>
        <w:spacing w:line="360" w:lineRule="auto"/>
        <w:ind w:firstLineChars="200" w:firstLine="480"/>
        <w:rPr>
          <w:rFonts w:ascii="宋体" w:hAnsi="宋体" w:cs="Arial"/>
          <w:bCs/>
          <w:sz w:val="24"/>
        </w:rPr>
      </w:pPr>
      <w:r>
        <w:rPr>
          <w:rFonts w:ascii="宋体" w:hAnsi="宋体" w:cs="Arial"/>
          <w:bCs/>
          <w:sz w:val="24"/>
        </w:rPr>
        <w:t>（21）执行生效的基金份额持有人大会的决议；</w:t>
      </w:r>
    </w:p>
    <w:p w14:paraId="5A84A5AB" w14:textId="77777777" w:rsidR="008B7B61" w:rsidRPr="00EB4A5D" w:rsidRDefault="008B7B61" w:rsidP="008B7B61">
      <w:pPr>
        <w:spacing w:line="360" w:lineRule="auto"/>
        <w:ind w:firstLineChars="200" w:firstLine="480"/>
        <w:rPr>
          <w:bCs/>
          <w:sz w:val="24"/>
        </w:rPr>
      </w:pPr>
      <w:r w:rsidRPr="00D31A44">
        <w:rPr>
          <w:rFonts w:ascii="宋体" w:hAnsi="宋体" w:cs="Arial" w:hint="eastAsia"/>
          <w:bCs/>
          <w:sz w:val="24"/>
        </w:rPr>
        <w:lastRenderedPageBreak/>
        <w:t>（</w:t>
      </w:r>
      <w:r w:rsidRPr="00D31A44">
        <w:rPr>
          <w:rFonts w:ascii="宋体" w:hAnsi="宋体" w:cs="Arial"/>
          <w:bCs/>
          <w:sz w:val="24"/>
        </w:rPr>
        <w:t>22</w:t>
      </w:r>
      <w:r w:rsidRPr="00D31A44">
        <w:rPr>
          <w:rFonts w:ascii="宋体" w:hAnsi="宋体" w:cs="Arial" w:hint="eastAsia"/>
          <w:bCs/>
          <w:sz w:val="24"/>
        </w:rPr>
        <w:t>）</w:t>
      </w:r>
      <w:r w:rsidRPr="00FE36B1">
        <w:rPr>
          <w:rFonts w:hint="eastAsia"/>
          <w:bCs/>
          <w:sz w:val="24"/>
        </w:rPr>
        <w:t>按照《中华人民共和国反洗钱法》等有关反洗钱的法律法规和监管要求履行反洗钱义务；</w:t>
      </w:r>
    </w:p>
    <w:p w14:paraId="17CF2A07" w14:textId="78C715C4" w:rsidR="00C52815" w:rsidRDefault="005C44F4">
      <w:pPr>
        <w:spacing w:line="360" w:lineRule="auto"/>
        <w:ind w:firstLineChars="200" w:firstLine="480"/>
        <w:rPr>
          <w:rFonts w:ascii="宋体" w:hAnsi="宋体" w:cs="Arial"/>
          <w:bCs/>
          <w:sz w:val="24"/>
        </w:rPr>
      </w:pPr>
      <w:r>
        <w:rPr>
          <w:rFonts w:ascii="宋体" w:hAnsi="宋体" w:cs="Arial"/>
          <w:bCs/>
          <w:sz w:val="24"/>
        </w:rPr>
        <w:t>（2</w:t>
      </w:r>
      <w:r w:rsidR="008B7B61">
        <w:rPr>
          <w:rFonts w:ascii="宋体" w:hAnsi="宋体" w:cs="Arial"/>
          <w:bCs/>
          <w:sz w:val="24"/>
        </w:rPr>
        <w:t>3</w:t>
      </w:r>
      <w:r>
        <w:rPr>
          <w:rFonts w:ascii="宋体" w:hAnsi="宋体" w:cs="Arial"/>
          <w:bCs/>
          <w:sz w:val="24"/>
        </w:rPr>
        <w:t>）</w:t>
      </w:r>
      <w:bookmarkStart w:id="189" w:name="_Toc523711670"/>
      <w:r>
        <w:rPr>
          <w:rFonts w:ascii="宋体" w:hAnsi="宋体" w:cs="Arial"/>
          <w:bCs/>
          <w:sz w:val="24"/>
        </w:rPr>
        <w:t>法律法规及中国证监会规定的和《基金合同》约定的其他义务。</w:t>
      </w:r>
      <w:bookmarkEnd w:id="189"/>
    </w:p>
    <w:p w14:paraId="018BFFED" w14:textId="77777777" w:rsidR="00C52815" w:rsidRDefault="005C44F4">
      <w:pPr>
        <w:spacing w:line="360" w:lineRule="auto"/>
        <w:ind w:firstLineChars="200" w:firstLine="480"/>
        <w:rPr>
          <w:rFonts w:ascii="宋体" w:hAnsi="宋体" w:cs="Arial"/>
          <w:bCs/>
          <w:sz w:val="24"/>
        </w:rPr>
      </w:pPr>
      <w:bookmarkStart w:id="190" w:name="_Toc79392582"/>
      <w:bookmarkStart w:id="191" w:name="OLE_LINK3"/>
      <w:r>
        <w:rPr>
          <w:rFonts w:ascii="宋体" w:hAnsi="宋体" w:cs="Arial"/>
          <w:bCs/>
          <w:sz w:val="24"/>
        </w:rPr>
        <w:t>三、基金份额持有人</w:t>
      </w:r>
      <w:bookmarkEnd w:id="190"/>
    </w:p>
    <w:p w14:paraId="72E5CF1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基金投资者持有本</w:t>
      </w:r>
      <w:proofErr w:type="gramStart"/>
      <w:r>
        <w:rPr>
          <w:rFonts w:ascii="宋体" w:hAnsi="宋体" w:cs="Arial"/>
          <w:bCs/>
          <w:sz w:val="24"/>
        </w:rPr>
        <w:t>基金</w:t>
      </w:r>
      <w:bookmarkStart w:id="192" w:name="_Hlt88899909"/>
      <w:bookmarkEnd w:id="192"/>
      <w:r>
        <w:rPr>
          <w:rFonts w:ascii="宋体" w:hAnsi="宋体" w:cs="Arial"/>
          <w:bCs/>
          <w:sz w:val="24"/>
        </w:rPr>
        <w:t>基金</w:t>
      </w:r>
      <w:proofErr w:type="gramEnd"/>
      <w:r>
        <w:rPr>
          <w:rFonts w:ascii="宋体" w:hAnsi="宋体" w:cs="Arial"/>
          <w:bCs/>
          <w:sz w:val="24"/>
        </w:rPr>
        <w:t>份额的行为即视为对《基金合同》的承认和接受，基金投资者</w:t>
      </w:r>
      <w:proofErr w:type="gramStart"/>
      <w:r>
        <w:rPr>
          <w:rFonts w:ascii="宋体" w:hAnsi="宋体" w:cs="Arial"/>
          <w:bCs/>
          <w:sz w:val="24"/>
        </w:rPr>
        <w:t>自依据</w:t>
      </w:r>
      <w:proofErr w:type="gramEnd"/>
      <w:r>
        <w:rPr>
          <w:rFonts w:ascii="宋体" w:hAnsi="宋体" w:cs="Arial"/>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75473ED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每份基金份额具有同等的合法权益。</w:t>
      </w:r>
    </w:p>
    <w:p w14:paraId="494373A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1、根据《基金法》、《运作办法》及其他有关规定，基金份额持有人的权利包括但不限于：</w:t>
      </w:r>
    </w:p>
    <w:p w14:paraId="3BB7F57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（1）分享基金财产收益；</w:t>
      </w:r>
    </w:p>
    <w:p w14:paraId="1B512B2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（2）参与分配清算后的剩余基金财产；</w:t>
      </w:r>
      <w:bookmarkStart w:id="193" w:name="_Hlt88825574"/>
      <w:bookmarkEnd w:id="193"/>
    </w:p>
    <w:p w14:paraId="13F23FB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（3）依法转让或者申请赎回其持有的基金份额；</w:t>
      </w:r>
    </w:p>
    <w:p w14:paraId="4F83AF5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（4）按照规定要求召开基金份额持有人大会或者召集基金份额持有人大会；</w:t>
      </w:r>
    </w:p>
    <w:p w14:paraId="09EB791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（5）出席或者委派代表出席基金份额持有人大会，对基金份额持有人大会审议事项行使表决权；</w:t>
      </w:r>
    </w:p>
    <w:p w14:paraId="299186A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（6）查阅或者复制公开披露的基金信息资料；</w:t>
      </w:r>
    </w:p>
    <w:p w14:paraId="4EE794F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（7）监督基金管理人的投资运作；</w:t>
      </w:r>
    </w:p>
    <w:p w14:paraId="254A17C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（8）对基金管理人、基金托管人损害其合法权益的行为依法提起仲裁；</w:t>
      </w:r>
    </w:p>
    <w:p w14:paraId="267EFD8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（9）法律法规及中国证监会规定的和《基金合同》约定的其他权利。</w:t>
      </w:r>
    </w:p>
    <w:p w14:paraId="70D1859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2、根据《基金法》、《运作办法》及其他有关规定，基金份额持有人的义务包括但不限于：</w:t>
      </w:r>
    </w:p>
    <w:p w14:paraId="30FE4E9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（1）认真阅读并遵守《基金合同》、招募说明书、基金产品资料概要、业务规则以及基金管理人按照规定就本基金发布的相关公告；</w:t>
      </w:r>
    </w:p>
    <w:p w14:paraId="2718D56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（2）了解所投资基金产品，了解自身风险承受能力，自主判断基金的投资价值，自主做出投资决策，自行承担投资风险；</w:t>
      </w:r>
    </w:p>
    <w:p w14:paraId="7EBF001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（3）关注基金信息披露，及时行使权利和履行义务；</w:t>
      </w:r>
    </w:p>
    <w:p w14:paraId="00737D5A" w14:textId="22F054E3"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（4）及时足额</w:t>
      </w:r>
      <w:r w:rsidR="00542B05">
        <w:rPr>
          <w:rFonts w:ascii="宋体" w:hAnsi="宋体" w:cs="Arial" w:hint="eastAsia"/>
          <w:bCs/>
          <w:sz w:val="24"/>
        </w:rPr>
        <w:t>交纳</w:t>
      </w:r>
      <w:r>
        <w:rPr>
          <w:rFonts w:ascii="宋体" w:hAnsi="宋体" w:cs="Arial"/>
          <w:bCs/>
          <w:sz w:val="24"/>
        </w:rPr>
        <w:t>基金认购款项</w:t>
      </w:r>
      <w:r w:rsidR="00542B05">
        <w:rPr>
          <w:rFonts w:ascii="宋体" w:hAnsi="宋体" w:cs="Arial"/>
          <w:bCs/>
          <w:sz w:val="24"/>
        </w:rPr>
        <w:t>和认购股票</w:t>
      </w:r>
      <w:r>
        <w:rPr>
          <w:rFonts w:ascii="宋体" w:hAnsi="宋体" w:cs="Arial"/>
          <w:bCs/>
          <w:sz w:val="24"/>
        </w:rPr>
        <w:t>、应付申购对价及法律法规和《基金合同》所规定的费用；</w:t>
      </w:r>
    </w:p>
    <w:p w14:paraId="699C971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（5）在其持有的基金份额范围内，承担基金亏损或者《基金合同》终止的有限责任；</w:t>
      </w:r>
    </w:p>
    <w:p w14:paraId="375C824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（6）不从事任何有损基金及其他《基金合同》当事人合法权益的活动；</w:t>
      </w:r>
    </w:p>
    <w:p w14:paraId="72FEC2F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（7）执行生效的基金份额持有人大会的决议；</w:t>
      </w:r>
    </w:p>
    <w:p w14:paraId="32899FF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（8）返还在基金交易过程中因任何原因获得的不当得利；</w:t>
      </w:r>
    </w:p>
    <w:p w14:paraId="64CBCAA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（9）遵守基金管理人、证券交易所、销售机构和登记结算机构的相关交易及业务规则；</w:t>
      </w:r>
    </w:p>
    <w:p w14:paraId="79299040" w14:textId="4565D7F0" w:rsidR="00C52815" w:rsidRDefault="005C44F4">
      <w:pPr>
        <w:spacing w:line="360" w:lineRule="auto"/>
        <w:ind w:firstLineChars="200" w:firstLine="480"/>
        <w:rPr>
          <w:rFonts w:ascii="宋体" w:hAnsi="宋体" w:cs="Arial"/>
          <w:bCs/>
          <w:sz w:val="24"/>
        </w:rPr>
      </w:pPr>
      <w:r>
        <w:rPr>
          <w:rFonts w:ascii="宋体" w:hAnsi="宋体" w:cs="Arial"/>
          <w:bCs/>
          <w:sz w:val="24"/>
        </w:rPr>
        <w:t>（10）如实提供基金管理人或其销售机构依法要求提供的信息，并不时予以更新和补充；</w:t>
      </w:r>
    </w:p>
    <w:p w14:paraId="427D0108" w14:textId="735117C3" w:rsidR="00D10B6C" w:rsidRDefault="00D10B6C" w:rsidP="00D10B6C">
      <w:pPr>
        <w:spacing w:line="360" w:lineRule="auto"/>
        <w:ind w:firstLineChars="200" w:firstLine="480"/>
        <w:rPr>
          <w:bCs/>
          <w:sz w:val="24"/>
        </w:rPr>
      </w:pPr>
      <w:r w:rsidRPr="00D31A44">
        <w:rPr>
          <w:rFonts w:ascii="宋体" w:hAnsi="宋体" w:cs="Arial" w:hint="eastAsia"/>
          <w:bCs/>
          <w:sz w:val="24"/>
        </w:rPr>
        <w:t>（</w:t>
      </w:r>
      <w:r w:rsidRPr="00D31A44">
        <w:rPr>
          <w:rFonts w:ascii="宋体" w:hAnsi="宋体" w:cs="Arial"/>
          <w:bCs/>
          <w:sz w:val="24"/>
        </w:rPr>
        <w:t>11</w:t>
      </w:r>
      <w:r w:rsidRPr="00D31A44">
        <w:rPr>
          <w:rFonts w:ascii="宋体" w:hAnsi="宋体" w:cs="Arial" w:hint="eastAsia"/>
          <w:bCs/>
          <w:sz w:val="24"/>
        </w:rPr>
        <w:t>）配合基金管理人或销售机构开展反洗钱尽职调查，包括但不限于提</w:t>
      </w:r>
      <w:r w:rsidRPr="002F6A53">
        <w:rPr>
          <w:rFonts w:hint="eastAsia"/>
          <w:bCs/>
          <w:sz w:val="24"/>
        </w:rPr>
        <w:t>供真实有效的身份证件或者其他身份证明文件，准确、完整填报身份信息，如实提供与交易和资金相关的资料等。不得从事洗钱活动或者为洗钱活动提供便利</w:t>
      </w:r>
      <w:r>
        <w:rPr>
          <w:rFonts w:hint="eastAsia"/>
          <w:bCs/>
          <w:sz w:val="24"/>
        </w:rPr>
        <w:t>；</w:t>
      </w:r>
    </w:p>
    <w:p w14:paraId="4A8FDA90" w14:textId="089AF937" w:rsidR="00C52815" w:rsidRDefault="005C44F4">
      <w:pPr>
        <w:spacing w:line="360" w:lineRule="auto"/>
        <w:ind w:firstLineChars="200" w:firstLine="480"/>
        <w:rPr>
          <w:rFonts w:ascii="宋体" w:hAnsi="宋体" w:cs="Arial"/>
          <w:bCs/>
          <w:sz w:val="24"/>
        </w:rPr>
      </w:pPr>
      <w:r>
        <w:rPr>
          <w:rFonts w:ascii="宋体" w:hAnsi="宋体" w:cs="Arial"/>
          <w:bCs/>
          <w:sz w:val="24"/>
        </w:rPr>
        <w:t>（1</w:t>
      </w:r>
      <w:r w:rsidR="00D10B6C">
        <w:rPr>
          <w:rFonts w:ascii="宋体" w:hAnsi="宋体" w:cs="Arial"/>
          <w:bCs/>
          <w:sz w:val="24"/>
        </w:rPr>
        <w:t>2</w:t>
      </w:r>
      <w:r>
        <w:rPr>
          <w:rFonts w:ascii="宋体" w:hAnsi="宋体" w:cs="Arial"/>
          <w:bCs/>
          <w:sz w:val="24"/>
        </w:rPr>
        <w:t>）法律法规及中国证监会规定的和《基金合同》约定的其他义务。</w:t>
      </w:r>
    </w:p>
    <w:p w14:paraId="0BC0B523" w14:textId="77777777" w:rsidR="00C52815" w:rsidRDefault="00C52815">
      <w:pPr>
        <w:spacing w:line="360" w:lineRule="auto"/>
        <w:ind w:firstLineChars="200" w:firstLine="480"/>
        <w:rPr>
          <w:rFonts w:ascii="宋体" w:hAnsi="宋体" w:cs="Arial"/>
          <w:bCs/>
          <w:sz w:val="24"/>
        </w:rPr>
      </w:pPr>
      <w:bookmarkStart w:id="194" w:name="_Toc20768"/>
    </w:p>
    <w:p w14:paraId="7AF1A5A0" w14:textId="77777777" w:rsidR="00C52815" w:rsidRDefault="005C44F4">
      <w:pPr>
        <w:pStyle w:val="1"/>
        <w:spacing w:before="0" w:after="0"/>
        <w:jc w:val="center"/>
        <w:rPr>
          <w:rFonts w:hAnsi="宋体" w:cs="Arial"/>
          <w:color w:val="auto"/>
          <w:sz w:val="30"/>
        </w:rPr>
      </w:pPr>
      <w:r>
        <w:rPr>
          <w:rFonts w:hAnsi="宋体" w:cs="Arial"/>
          <w:b w:val="0"/>
          <w:bCs/>
          <w:color w:val="auto"/>
        </w:rPr>
        <w:br w:type="page"/>
      </w:r>
      <w:bookmarkStart w:id="195" w:name="_Toc123051454"/>
      <w:bookmarkStart w:id="196" w:name="_Toc6447"/>
      <w:bookmarkStart w:id="197" w:name="_Toc10650"/>
      <w:bookmarkStart w:id="198" w:name="_Toc7058"/>
      <w:bookmarkStart w:id="199" w:name="_Toc11030"/>
      <w:bookmarkStart w:id="200" w:name="_Toc4559"/>
      <w:bookmarkStart w:id="201" w:name="_Toc9706"/>
      <w:bookmarkStart w:id="202" w:name="_Toc3321"/>
      <w:bookmarkStart w:id="203" w:name="_Toc141703888"/>
      <w:bookmarkStart w:id="204" w:name="_Toc3771"/>
      <w:bookmarkStart w:id="205" w:name="_Toc123112236"/>
      <w:bookmarkStart w:id="206" w:name="_Toc79392583"/>
      <w:bookmarkStart w:id="207" w:name="_Toc25783"/>
      <w:bookmarkStart w:id="208" w:name="_Toc123102455"/>
      <w:bookmarkStart w:id="209" w:name="_Toc139991738"/>
      <w:bookmarkStart w:id="210" w:name="_Toc4630"/>
      <w:bookmarkStart w:id="211" w:name="_Toc98560354"/>
      <w:bookmarkStart w:id="212" w:name="_Toc9533"/>
      <w:bookmarkStart w:id="213" w:name="_Toc20251"/>
      <w:bookmarkStart w:id="214" w:name="_Toc114406675"/>
      <w:bookmarkStart w:id="215" w:name="_Toc18567"/>
      <w:bookmarkEnd w:id="191"/>
      <w:r>
        <w:rPr>
          <w:rFonts w:hAnsi="宋体" w:cs="Arial"/>
          <w:color w:val="auto"/>
          <w:sz w:val="30"/>
        </w:rPr>
        <w:lastRenderedPageBreak/>
        <w:t>第九部分  基金份额持有人大会</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236BE7E2" w14:textId="77777777" w:rsidR="00C52815" w:rsidRDefault="00C52815">
      <w:pPr>
        <w:tabs>
          <w:tab w:val="left" w:pos="1080"/>
        </w:tabs>
        <w:spacing w:line="360" w:lineRule="auto"/>
        <w:ind w:leftChars="199" w:left="1076" w:hangingChars="274" w:hanging="658"/>
        <w:rPr>
          <w:rFonts w:ascii="宋体" w:hAnsi="宋体" w:cs="Arial"/>
          <w:bCs/>
          <w:sz w:val="24"/>
        </w:rPr>
      </w:pPr>
    </w:p>
    <w:p w14:paraId="7DAB8D35" w14:textId="40A2D30C"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基金份额持有人大会由基金份额持有人组成，基金份额持有人的合法授权代表有权代表基金份额持有人出席会议并表决。除</w:t>
      </w:r>
      <w:r w:rsidR="004A0A69">
        <w:rPr>
          <w:rFonts w:ascii="宋体" w:hAnsi="宋体" w:cs="Arial"/>
          <w:bCs/>
          <w:sz w:val="24"/>
        </w:rPr>
        <w:t>法律法规另有规定或</w:t>
      </w:r>
      <w:r>
        <w:rPr>
          <w:rFonts w:ascii="宋体" w:hAnsi="宋体" w:cs="Arial"/>
          <w:bCs/>
          <w:sz w:val="24"/>
        </w:rPr>
        <w:t>基金合同另有约定外，基金份额持有人持有的每一基金份额拥有平等的权利。</w:t>
      </w:r>
    </w:p>
    <w:p w14:paraId="39552EB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ETF联接基金的基金合同生效后，</w:t>
      </w:r>
      <w:proofErr w:type="gramStart"/>
      <w:r>
        <w:rPr>
          <w:rFonts w:ascii="宋体" w:hAnsi="宋体" w:cs="Arial"/>
          <w:bCs/>
          <w:sz w:val="24"/>
        </w:rPr>
        <w:t>鉴于本</w:t>
      </w:r>
      <w:proofErr w:type="gramEnd"/>
      <w:r>
        <w:rPr>
          <w:rFonts w:ascii="宋体" w:hAnsi="宋体" w:cs="Arial"/>
          <w:bCs/>
          <w:sz w:val="24"/>
        </w:rPr>
        <w:t>基金和ETF联接基金的相关性，ETF联接基金的基金份额持有人可以凭所持有的ETF联接基金的基金份额出席或者委派代表出席本基金的基金份额持有人大会并参与表决。在计算参会份额和计票时，ETF联接基金持有人持有的享有表决权的基金份额数和表决票数为，在本</w:t>
      </w:r>
      <w:proofErr w:type="gramStart"/>
      <w:r>
        <w:rPr>
          <w:rFonts w:ascii="宋体" w:hAnsi="宋体" w:cs="Arial"/>
          <w:bCs/>
          <w:sz w:val="24"/>
        </w:rPr>
        <w:t>基金基金</w:t>
      </w:r>
      <w:proofErr w:type="gramEnd"/>
      <w:r>
        <w:rPr>
          <w:rFonts w:ascii="宋体" w:hAnsi="宋体" w:cs="Arial"/>
          <w:bCs/>
          <w:sz w:val="24"/>
        </w:rPr>
        <w:t>份额持有人大会的权益登记日，ETF联接基金持有本基金份额的总数乘以该基金份额持有人所持有的ETF联接基金份额占ETF联接基金总份额的比例，计算结果按照四舍五入的方法，保留到整数位。</w:t>
      </w:r>
    </w:p>
    <w:p w14:paraId="13EE74C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ETF联接基金的基金管理人不应以ETF联接基金的名义代表ETF联接基金的全体基金份额持有人以本基金的基金份额持有人的身份行使表决权，但可接受ETF联接基金的</w:t>
      </w:r>
      <w:proofErr w:type="gramStart"/>
      <w:r>
        <w:rPr>
          <w:rFonts w:ascii="宋体" w:hAnsi="宋体" w:cs="Arial"/>
          <w:bCs/>
          <w:sz w:val="24"/>
        </w:rPr>
        <w:t>特定基金</w:t>
      </w:r>
      <w:proofErr w:type="gramEnd"/>
      <w:r>
        <w:rPr>
          <w:rFonts w:ascii="宋体" w:hAnsi="宋体" w:cs="Arial"/>
          <w:bCs/>
          <w:sz w:val="24"/>
        </w:rPr>
        <w:t>份额持有人的委托以ETF联接基金的基金份额持有人代理人的身份出席本基金的基金份额持有人大会并参与表决。</w:t>
      </w:r>
    </w:p>
    <w:p w14:paraId="3E03D78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ETF联接基金的基金管理人代表ETF联接基金的基金份额持有人提议召开或召集本基金份额持有人大会的，须先遵照ETF联接</w:t>
      </w:r>
      <w:proofErr w:type="gramStart"/>
      <w:r>
        <w:rPr>
          <w:rFonts w:ascii="宋体" w:hAnsi="宋体" w:cs="Arial"/>
          <w:bCs/>
          <w:sz w:val="24"/>
        </w:rPr>
        <w:t>基金基金</w:t>
      </w:r>
      <w:proofErr w:type="gramEnd"/>
      <w:r>
        <w:rPr>
          <w:rFonts w:ascii="宋体" w:hAnsi="宋体" w:cs="Arial"/>
          <w:bCs/>
          <w:sz w:val="24"/>
        </w:rPr>
        <w:t>合同的约定召开ETF联接基金的基金份额持有人大会，ETF联接基金的基金份额持有人大会决定提议召开或召集本基金份额持有人大会的，由ETF联接基金的基金管理人代表ETF联接基金的基金份额持有人提议召开或召集本基金份额持有人大会。</w:t>
      </w:r>
    </w:p>
    <w:p w14:paraId="346F5372" w14:textId="77777777" w:rsidR="00C52815" w:rsidRDefault="005C44F4">
      <w:pPr>
        <w:spacing w:line="360" w:lineRule="auto"/>
        <w:ind w:firstLineChars="200" w:firstLine="480"/>
        <w:rPr>
          <w:rFonts w:ascii="宋体" w:hAnsi="宋体" w:cs="Arial"/>
          <w:bCs/>
          <w:sz w:val="24"/>
        </w:rPr>
      </w:pPr>
      <w:bookmarkStart w:id="216" w:name="_Toc15641220"/>
      <w:bookmarkStart w:id="217" w:name="_Toc79392584"/>
      <w:bookmarkStart w:id="218" w:name="_Toc57530243"/>
      <w:r>
        <w:rPr>
          <w:rFonts w:ascii="宋体" w:hAnsi="宋体" w:cs="Arial"/>
          <w:bCs/>
          <w:sz w:val="24"/>
        </w:rPr>
        <w:t>一、召开事由</w:t>
      </w:r>
      <w:bookmarkEnd w:id="216"/>
      <w:bookmarkEnd w:id="217"/>
      <w:bookmarkEnd w:id="218"/>
    </w:p>
    <w:p w14:paraId="2DE0FF4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1、除法律法规，或基金合同，或中国证监会另有规定外，当需要决定下列事由之一的，应当召开基金份额持有人大会：</w:t>
      </w:r>
    </w:p>
    <w:p w14:paraId="2BAD14FD"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（1）终止基金合同；</w:t>
      </w:r>
    </w:p>
    <w:p w14:paraId="2A0B067A"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（2）更换基金管理人；</w:t>
      </w:r>
    </w:p>
    <w:p w14:paraId="040444A0"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（3）更换基金托管人；</w:t>
      </w:r>
    </w:p>
    <w:p w14:paraId="32C95A7C"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（4）转换基金运作方式；</w:t>
      </w:r>
    </w:p>
    <w:p w14:paraId="71A10EE7"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（5）调整基金管理人、基金托管人的报酬标准；</w:t>
      </w:r>
    </w:p>
    <w:p w14:paraId="4AC5952D"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lastRenderedPageBreak/>
        <w:t>（6）变更基金类别；</w:t>
      </w:r>
    </w:p>
    <w:p w14:paraId="18F8B07F"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（7）本基金与其他基金的合并；</w:t>
      </w:r>
    </w:p>
    <w:p w14:paraId="1797C71D"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（8）变更基金投资目标、范围或策略；</w:t>
      </w:r>
    </w:p>
    <w:p w14:paraId="34BE683F"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（9）变更基金份额持有人大会程序；</w:t>
      </w:r>
    </w:p>
    <w:p w14:paraId="07B20205"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（10）对基金合同当事人权利和义务产生重大影响的其他事项；</w:t>
      </w:r>
    </w:p>
    <w:p w14:paraId="53043815"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（11）终止基金上市，但因基金不再具备上市条件而被上海证券交易所终止上市的情形除外；</w:t>
      </w:r>
    </w:p>
    <w:p w14:paraId="63E8554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（12）法律法规或基金合同或中国证监会规定的其他应当召开基金份额持有人大会的事项。</w:t>
      </w:r>
    </w:p>
    <w:p w14:paraId="631D0C0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w:t>
      </w:r>
      <w:r>
        <w:rPr>
          <w:rFonts w:ascii="宋体" w:hAnsi="宋体" w:cs="Arial" w:hint="eastAsia"/>
          <w:bCs/>
          <w:sz w:val="24"/>
        </w:rPr>
        <w:t>在不违反法律法规有关规定和监管要求的前提下</w:t>
      </w:r>
      <w:r>
        <w:rPr>
          <w:rFonts w:ascii="宋体" w:hAnsi="宋体" w:cs="Arial"/>
          <w:bCs/>
          <w:sz w:val="24"/>
        </w:rPr>
        <w:t>，以下情况可由基金管理人和基金托管人协商后修改，不需召开基金份额持有人大会：</w:t>
      </w:r>
    </w:p>
    <w:p w14:paraId="6C62D34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（1）法律法规要求增加的基金费用的收取；</w:t>
      </w:r>
    </w:p>
    <w:p w14:paraId="263FAF5B" w14:textId="77777777" w:rsidR="00843662" w:rsidRDefault="00843662" w:rsidP="00843662">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在</w:t>
      </w:r>
      <w:r>
        <w:rPr>
          <w:rFonts w:hint="eastAsia"/>
          <w:bCs/>
          <w:sz w:val="24"/>
        </w:rPr>
        <w:t>对基金份额持有人利益无实质性不利影响的前提下，</w:t>
      </w:r>
      <w:r>
        <w:rPr>
          <w:bCs/>
          <w:sz w:val="24"/>
        </w:rPr>
        <w:t>调整本基金的申购费率</w:t>
      </w:r>
      <w:r>
        <w:rPr>
          <w:rFonts w:hint="eastAsia"/>
          <w:bCs/>
          <w:sz w:val="24"/>
        </w:rPr>
        <w:t>或变更收费方式、调整本基金的基金份额类别的设置</w:t>
      </w:r>
      <w:r>
        <w:rPr>
          <w:bCs/>
          <w:sz w:val="24"/>
        </w:rPr>
        <w:t>；</w:t>
      </w:r>
    </w:p>
    <w:p w14:paraId="74370EEC" w14:textId="0178624A" w:rsidR="00843662" w:rsidRDefault="00843662" w:rsidP="00843662">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w:t>
      </w:r>
      <w:r>
        <w:rPr>
          <w:rFonts w:hint="eastAsia"/>
          <w:bCs/>
          <w:sz w:val="24"/>
        </w:rPr>
        <w:t>、</w:t>
      </w:r>
      <w:r>
        <w:rPr>
          <w:bCs/>
          <w:sz w:val="24"/>
        </w:rPr>
        <w:t>证券交易所或者登记</w:t>
      </w:r>
      <w:r w:rsidR="005D1F43" w:rsidRPr="005D1F43">
        <w:rPr>
          <w:rFonts w:hint="eastAsia"/>
          <w:bCs/>
          <w:sz w:val="24"/>
        </w:rPr>
        <w:t>结算</w:t>
      </w:r>
      <w:r>
        <w:rPr>
          <w:bCs/>
          <w:sz w:val="24"/>
        </w:rPr>
        <w:t>机构的相关业务规则发生变动而应当对基金合同进行修改；</w:t>
      </w:r>
    </w:p>
    <w:p w14:paraId="7F445DE7" w14:textId="77777777" w:rsidR="00843662" w:rsidRDefault="00843662" w:rsidP="00843662">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7CD375F4" w14:textId="785FE8A2" w:rsidR="00843662" w:rsidRDefault="00843662" w:rsidP="00843662">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基金管理人、登记</w:t>
      </w:r>
      <w:r w:rsidR="005D1F43" w:rsidRPr="005D1F43">
        <w:rPr>
          <w:rFonts w:hint="eastAsia"/>
          <w:bCs/>
          <w:sz w:val="24"/>
        </w:rPr>
        <w:t>结算</w:t>
      </w:r>
      <w:r>
        <w:rPr>
          <w:bCs/>
          <w:sz w:val="24"/>
        </w:rPr>
        <w:t>机构</w:t>
      </w:r>
      <w:r>
        <w:rPr>
          <w:rFonts w:hint="eastAsia"/>
          <w:bCs/>
          <w:sz w:val="24"/>
        </w:rPr>
        <w:t>、</w:t>
      </w:r>
      <w:r>
        <w:rPr>
          <w:bCs/>
          <w:sz w:val="24"/>
        </w:rPr>
        <w:t>销售机构在法律法规和中国证监会规定范围内调整有关基金认购、申购、赎回、</w:t>
      </w:r>
      <w:proofErr w:type="gramStart"/>
      <w:r>
        <w:rPr>
          <w:bCs/>
          <w:sz w:val="24"/>
        </w:rPr>
        <w:t>非交易</w:t>
      </w:r>
      <w:proofErr w:type="gramEnd"/>
      <w:r>
        <w:rPr>
          <w:bCs/>
          <w:sz w:val="24"/>
        </w:rPr>
        <w:t>过户等业务的规则</w:t>
      </w:r>
      <w:r>
        <w:rPr>
          <w:rFonts w:hint="eastAsia"/>
          <w:bCs/>
          <w:sz w:val="24"/>
        </w:rPr>
        <w:t>；</w:t>
      </w:r>
    </w:p>
    <w:p w14:paraId="57610867" w14:textId="77777777" w:rsidR="00843662" w:rsidRDefault="00843662" w:rsidP="00843662">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）在不违反法律法规的情况下，调整基金的申购赎回方式和</w:t>
      </w:r>
      <w:r>
        <w:rPr>
          <w:rFonts w:hint="eastAsia"/>
          <w:bCs/>
          <w:sz w:val="24"/>
        </w:rPr>
        <w:t>/</w:t>
      </w:r>
      <w:r>
        <w:rPr>
          <w:rFonts w:hint="eastAsia"/>
          <w:bCs/>
          <w:sz w:val="24"/>
        </w:rPr>
        <w:t>或申购对价、赎回对价组成；</w:t>
      </w:r>
    </w:p>
    <w:p w14:paraId="408C2D83" w14:textId="77777777" w:rsidR="00843662" w:rsidRDefault="00843662" w:rsidP="00843662">
      <w:pPr>
        <w:spacing w:line="360" w:lineRule="auto"/>
        <w:ind w:firstLineChars="200" w:firstLine="480"/>
        <w:rPr>
          <w:bCs/>
          <w:sz w:val="24"/>
        </w:rPr>
      </w:pPr>
      <w:r>
        <w:rPr>
          <w:rFonts w:hint="eastAsia"/>
          <w:bCs/>
          <w:sz w:val="24"/>
        </w:rPr>
        <w:t>（</w:t>
      </w:r>
      <w:r>
        <w:rPr>
          <w:bCs/>
          <w:sz w:val="24"/>
        </w:rPr>
        <w:t>7</w:t>
      </w:r>
      <w:r>
        <w:rPr>
          <w:rFonts w:hint="eastAsia"/>
          <w:bCs/>
          <w:sz w:val="24"/>
        </w:rPr>
        <w:t>）对基金份额持有人利益无实质性不利影响的情况下，基金推出新业务或服务；</w:t>
      </w:r>
    </w:p>
    <w:p w14:paraId="5CBAC91D" w14:textId="77777777" w:rsidR="00843662" w:rsidRDefault="00843662" w:rsidP="00843662">
      <w:pPr>
        <w:spacing w:line="360" w:lineRule="auto"/>
        <w:ind w:firstLineChars="200" w:firstLine="480"/>
        <w:rPr>
          <w:bCs/>
          <w:sz w:val="24"/>
        </w:rPr>
      </w:pPr>
      <w:r>
        <w:rPr>
          <w:rFonts w:hint="eastAsia"/>
          <w:bCs/>
          <w:sz w:val="24"/>
        </w:rPr>
        <w:t>（</w:t>
      </w:r>
      <w:r>
        <w:rPr>
          <w:rFonts w:hint="eastAsia"/>
          <w:bCs/>
          <w:sz w:val="24"/>
        </w:rPr>
        <w:t>8</w:t>
      </w:r>
      <w:r>
        <w:rPr>
          <w:rFonts w:hint="eastAsia"/>
          <w:bCs/>
          <w:sz w:val="24"/>
        </w:rPr>
        <w:t>）监管机关或证券交易所要求或决定本基金终止上市；</w:t>
      </w:r>
    </w:p>
    <w:p w14:paraId="04C2452A" w14:textId="77777777" w:rsidR="00843662" w:rsidRDefault="00843662" w:rsidP="00843662">
      <w:pPr>
        <w:spacing w:line="360" w:lineRule="auto"/>
        <w:ind w:firstLineChars="200" w:firstLine="480"/>
        <w:rPr>
          <w:bCs/>
          <w:sz w:val="24"/>
        </w:rPr>
      </w:pPr>
      <w:r>
        <w:rPr>
          <w:rFonts w:hint="eastAsia"/>
          <w:bCs/>
          <w:sz w:val="24"/>
        </w:rPr>
        <w:t>（</w:t>
      </w:r>
      <w:r>
        <w:rPr>
          <w:bCs/>
          <w:sz w:val="24"/>
        </w:rPr>
        <w:t>9</w:t>
      </w:r>
      <w:r>
        <w:rPr>
          <w:rFonts w:hint="eastAsia"/>
          <w:bCs/>
          <w:sz w:val="24"/>
        </w:rPr>
        <w:t>）</w:t>
      </w:r>
      <w:r>
        <w:rPr>
          <w:bCs/>
          <w:sz w:val="24"/>
        </w:rPr>
        <w:t>按照法律法规和基金合同规定不需召开基金份额持有人大会的其他情形。</w:t>
      </w:r>
    </w:p>
    <w:p w14:paraId="728288E9" w14:textId="77777777" w:rsidR="00C52815" w:rsidRDefault="005C44F4">
      <w:pPr>
        <w:spacing w:line="360" w:lineRule="auto"/>
        <w:ind w:firstLineChars="200" w:firstLine="480"/>
        <w:rPr>
          <w:rFonts w:ascii="宋体" w:hAnsi="宋体" w:cs="Arial"/>
          <w:bCs/>
          <w:sz w:val="24"/>
        </w:rPr>
      </w:pPr>
      <w:bookmarkStart w:id="219" w:name="_Toc79392585"/>
      <w:bookmarkStart w:id="220" w:name="_Toc57530244"/>
      <w:bookmarkStart w:id="221" w:name="_Toc15641221"/>
      <w:r>
        <w:rPr>
          <w:rFonts w:ascii="宋体" w:hAnsi="宋体" w:cs="Arial"/>
          <w:bCs/>
          <w:sz w:val="24"/>
        </w:rPr>
        <w:t>二、会议召集人及召集方式</w:t>
      </w:r>
      <w:bookmarkEnd w:id="219"/>
      <w:bookmarkEnd w:id="220"/>
      <w:bookmarkEnd w:id="221"/>
    </w:p>
    <w:p w14:paraId="14CB5985" w14:textId="77777777" w:rsidR="00C52815" w:rsidRDefault="005C44F4">
      <w:pPr>
        <w:spacing w:line="360" w:lineRule="auto"/>
        <w:ind w:firstLineChars="200" w:firstLine="480"/>
        <w:rPr>
          <w:rFonts w:ascii="宋体" w:hAnsi="宋体" w:cs="Arial"/>
          <w:bCs/>
          <w:sz w:val="24"/>
        </w:rPr>
      </w:pPr>
      <w:bookmarkStart w:id="222" w:name="_Toc15641222"/>
      <w:bookmarkStart w:id="223" w:name="_Toc57530245"/>
      <w:r>
        <w:rPr>
          <w:rFonts w:ascii="宋体" w:hAnsi="宋体" w:cs="Arial"/>
          <w:bCs/>
          <w:sz w:val="24"/>
        </w:rPr>
        <w:t>1、本</w:t>
      </w:r>
      <w:proofErr w:type="gramStart"/>
      <w:r>
        <w:rPr>
          <w:rFonts w:ascii="宋体" w:hAnsi="宋体" w:cs="Arial"/>
          <w:bCs/>
          <w:sz w:val="24"/>
        </w:rPr>
        <w:t>基金基金</w:t>
      </w:r>
      <w:proofErr w:type="gramEnd"/>
      <w:r>
        <w:rPr>
          <w:rFonts w:ascii="宋体" w:hAnsi="宋体" w:cs="Arial"/>
          <w:bCs/>
          <w:sz w:val="24"/>
        </w:rPr>
        <w:t>份额持有人大会不设日常机构。除法律法规规定或《基金合同》另有约定外，基金份额持有人大会由基金管理人召集。</w:t>
      </w:r>
    </w:p>
    <w:p w14:paraId="5835F4FE"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2、基金管理人未按规定召集或不能召开时，由基金托管人召集。</w:t>
      </w:r>
    </w:p>
    <w:p w14:paraId="29049E8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314243E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代表基金份额10%以上（含10%，以基金管理人收到提议当日的基金份额计算，下同）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563320B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027A469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6、基金份额持有人大会的召集人负责选择确定开会时间、地点、方式和权益登记日。</w:t>
      </w:r>
    </w:p>
    <w:p w14:paraId="27F23D2F" w14:textId="77777777" w:rsidR="00C52815" w:rsidRDefault="005C44F4">
      <w:pPr>
        <w:spacing w:line="360" w:lineRule="auto"/>
        <w:ind w:firstLineChars="200" w:firstLine="480"/>
        <w:rPr>
          <w:rFonts w:ascii="宋体" w:hAnsi="宋体" w:cs="Arial"/>
          <w:bCs/>
          <w:sz w:val="24"/>
        </w:rPr>
      </w:pPr>
      <w:bookmarkStart w:id="224" w:name="_Toc79392586"/>
      <w:r>
        <w:rPr>
          <w:rFonts w:ascii="宋体" w:hAnsi="宋体" w:cs="Arial"/>
          <w:bCs/>
          <w:sz w:val="24"/>
        </w:rPr>
        <w:t>三、召开基金份额持有人大会的通知时间、通知内容、通知方式</w:t>
      </w:r>
      <w:bookmarkEnd w:id="222"/>
      <w:bookmarkEnd w:id="223"/>
      <w:bookmarkEnd w:id="224"/>
    </w:p>
    <w:p w14:paraId="13220E5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1、召开基金份额持有人大会，召集人应于会议召开前至少30日，按照《信息披露办法》的规定在规定媒介发布召开基金份额持有人大会的通知。基金份额持有人大会通知应至少载明以下内容：</w:t>
      </w:r>
    </w:p>
    <w:p w14:paraId="1C8DF1E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（1）会议召开的时间、地点和会议形式；</w:t>
      </w:r>
    </w:p>
    <w:p w14:paraId="0C862F3F"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（2）会议</w:t>
      </w:r>
      <w:proofErr w:type="gramStart"/>
      <w:r>
        <w:rPr>
          <w:rFonts w:ascii="宋体" w:hAnsi="宋体" w:cs="Arial"/>
          <w:bCs/>
          <w:sz w:val="24"/>
        </w:rPr>
        <w:t>拟审议</w:t>
      </w:r>
      <w:proofErr w:type="gramEnd"/>
      <w:r>
        <w:rPr>
          <w:rFonts w:ascii="宋体" w:hAnsi="宋体" w:cs="Arial"/>
          <w:bCs/>
          <w:sz w:val="24"/>
        </w:rPr>
        <w:t>的事项、议事程序和表决方式；</w:t>
      </w:r>
    </w:p>
    <w:p w14:paraId="12CF2ED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（3）有权出席基金份额持有人大会的基金份额持有人的权益登记日；</w:t>
      </w:r>
    </w:p>
    <w:p w14:paraId="31440B3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（4）授权委托证明的内容要求（包括但不限于代理人身份，代理权限和代理有效期限等）、送达时间和地点；</w:t>
      </w:r>
    </w:p>
    <w:p w14:paraId="1A6E865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（5）会务常设联系人姓名及联系电话；</w:t>
      </w:r>
    </w:p>
    <w:p w14:paraId="1D25414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（6）出席会议者必须准备的文件和必须履行的手续；</w:t>
      </w:r>
    </w:p>
    <w:p w14:paraId="3947048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（7）召集人需要通知的其他事项。</w:t>
      </w:r>
    </w:p>
    <w:p w14:paraId="7486B6C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采取通讯开会方式并进行表决的情况下，由会议召集人决定在会议通知中说明本次基金份额持有人大会所采取的具体通讯方式、委托的公证机关及其联系方式和联系人、书面表决意见送达的截止时间和收取方式。</w:t>
      </w:r>
    </w:p>
    <w:p w14:paraId="6F1E6EB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cs="Arial"/>
          <w:bCs/>
          <w:sz w:val="24"/>
        </w:rPr>
        <w:t>拒不派</w:t>
      </w:r>
      <w:proofErr w:type="gramEnd"/>
      <w:r>
        <w:rPr>
          <w:rFonts w:ascii="宋体" w:hAnsi="宋体" w:cs="Arial"/>
          <w:bCs/>
          <w:sz w:val="24"/>
        </w:rPr>
        <w:t>代表对书面表决意见的计票进行监督的，不影响表决意见的计票效力。</w:t>
      </w:r>
    </w:p>
    <w:p w14:paraId="7D8A69DF" w14:textId="77777777" w:rsidR="00C52815" w:rsidRDefault="005C44F4">
      <w:pPr>
        <w:spacing w:line="360" w:lineRule="auto"/>
        <w:ind w:firstLineChars="200" w:firstLine="480"/>
        <w:rPr>
          <w:rFonts w:ascii="宋体" w:hAnsi="宋体" w:cs="Arial"/>
          <w:bCs/>
          <w:sz w:val="24"/>
        </w:rPr>
      </w:pPr>
      <w:bookmarkStart w:id="225" w:name="_Toc15641223"/>
      <w:bookmarkStart w:id="226" w:name="_Toc79392587"/>
      <w:bookmarkStart w:id="227" w:name="_Toc57530246"/>
      <w:r>
        <w:rPr>
          <w:rFonts w:ascii="宋体" w:hAnsi="宋体" w:cs="Arial"/>
          <w:bCs/>
          <w:sz w:val="24"/>
        </w:rPr>
        <w:t>四、基金份额持有人出席会议的方式</w:t>
      </w:r>
      <w:bookmarkEnd w:id="225"/>
      <w:bookmarkEnd w:id="226"/>
      <w:bookmarkEnd w:id="227"/>
    </w:p>
    <w:p w14:paraId="420C98E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基金份额持有人大会可通过现场开会方式、通讯开会方式或法律法规、监管机构允许或基金合同约定的其他方式召开，会议的召开方式由会议召集人确定。</w:t>
      </w:r>
    </w:p>
    <w:p w14:paraId="7852D0B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C1E3E3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F46C63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（2）经核对，汇总到会者出示的在权益登记日持有基金份额的凭证显示，</w:t>
      </w:r>
      <w:r>
        <w:rPr>
          <w:rFonts w:ascii="宋体" w:hAnsi="宋体" w:cs="Arial"/>
          <w:bCs/>
          <w:sz w:val="24"/>
        </w:rPr>
        <w:lastRenderedPageBreak/>
        <w:t>有效的基金份额不少于本基金在权益登记日基金总份额的二分之一（含二分之一）。若到会者在权益登记日代表的有效的基金份额少于本基金在权益登记日基金总份额的</w:t>
      </w:r>
      <w:r>
        <w:rPr>
          <w:rFonts w:ascii="宋体" w:hAnsi="宋体" w:cs="Arial"/>
          <w:sz w:val="24"/>
        </w:rPr>
        <w:t>二分之一</w:t>
      </w:r>
      <w:r>
        <w:rPr>
          <w:rFonts w:ascii="宋体" w:hAnsi="宋体" w:cs="Arial"/>
          <w:bCs/>
          <w:sz w:val="24"/>
        </w:rPr>
        <w:t>，召集人可以在原公告的基金份额持有人大会召开时间的</w:t>
      </w:r>
      <w:r>
        <w:rPr>
          <w:rFonts w:ascii="宋体" w:hAnsi="宋体" w:cs="Arial"/>
          <w:sz w:val="24"/>
        </w:rPr>
        <w:t>3个月以后、6个月以内</w:t>
      </w:r>
      <w:r>
        <w:rPr>
          <w:rFonts w:ascii="宋体" w:hAnsi="宋体" w:cs="Arial"/>
          <w:bCs/>
          <w:sz w:val="24"/>
        </w:rPr>
        <w:t>，就原定审议事项重新召集基金份额持有人大会。重新召集的基金份额持有人大会到会者在权益登记日代表的有效的基金份额应不少于本基金在权益登记日基金总份额的</w:t>
      </w:r>
      <w:r>
        <w:rPr>
          <w:rFonts w:ascii="宋体" w:hAnsi="宋体" w:cs="Arial"/>
          <w:sz w:val="24"/>
        </w:rPr>
        <w:t>三分之一（含三分之一</w:t>
      </w:r>
      <w:r>
        <w:rPr>
          <w:rFonts w:ascii="宋体" w:hAnsi="宋体" w:cs="Arial"/>
          <w:bCs/>
          <w:sz w:val="24"/>
        </w:rPr>
        <w:t>）。</w:t>
      </w:r>
    </w:p>
    <w:p w14:paraId="692FD358" w14:textId="73095E38" w:rsidR="00C52815" w:rsidRDefault="005C44F4">
      <w:pPr>
        <w:spacing w:line="360" w:lineRule="auto"/>
        <w:ind w:firstLineChars="200" w:firstLine="480"/>
        <w:rPr>
          <w:rFonts w:ascii="宋体" w:hAnsi="宋体" w:cs="Arial"/>
          <w:bCs/>
          <w:sz w:val="24"/>
        </w:rPr>
      </w:pPr>
      <w:r>
        <w:rPr>
          <w:rFonts w:ascii="宋体" w:hAnsi="宋体" w:cs="Arial"/>
          <w:bCs/>
          <w:sz w:val="24"/>
        </w:rPr>
        <w:t>2、通讯开会。通讯开会系指基金份额持有人将其对审议事项的表决意见以书面形式</w:t>
      </w:r>
      <w:proofErr w:type="gramStart"/>
      <w:r>
        <w:rPr>
          <w:rFonts w:ascii="宋体" w:hAnsi="宋体" w:cs="Arial"/>
          <w:bCs/>
          <w:sz w:val="24"/>
        </w:rPr>
        <w:t>或</w:t>
      </w:r>
      <w:r w:rsidR="00542B05">
        <w:rPr>
          <w:rFonts w:ascii="宋体" w:hAnsi="宋体" w:cs="Arial" w:hint="eastAsia"/>
          <w:bCs/>
          <w:sz w:val="24"/>
        </w:rPr>
        <w:t>大会</w:t>
      </w:r>
      <w:proofErr w:type="gramEnd"/>
      <w:r w:rsidR="00542B05">
        <w:rPr>
          <w:rFonts w:ascii="宋体" w:hAnsi="宋体" w:cs="Arial"/>
          <w:bCs/>
          <w:sz w:val="24"/>
        </w:rPr>
        <w:t>公告载明</w:t>
      </w:r>
      <w:r>
        <w:rPr>
          <w:rFonts w:ascii="宋体" w:hAnsi="宋体" w:cs="Arial"/>
          <w:bCs/>
          <w:sz w:val="24"/>
        </w:rPr>
        <w:t>的其他方式在收取表决意见截止时间以前送达至召集人指定的地址。通讯开会应以书面方式</w:t>
      </w:r>
      <w:proofErr w:type="gramStart"/>
      <w:r>
        <w:rPr>
          <w:rFonts w:ascii="宋体" w:hAnsi="宋体" w:cs="Arial"/>
          <w:bCs/>
          <w:sz w:val="24"/>
        </w:rPr>
        <w:t>或</w:t>
      </w:r>
      <w:r w:rsidR="00542B05">
        <w:rPr>
          <w:rFonts w:ascii="宋体" w:hAnsi="宋体" w:cs="Arial" w:hint="eastAsia"/>
          <w:bCs/>
          <w:sz w:val="24"/>
        </w:rPr>
        <w:t>大会</w:t>
      </w:r>
      <w:proofErr w:type="gramEnd"/>
      <w:r w:rsidR="00542B05">
        <w:rPr>
          <w:rFonts w:ascii="宋体" w:hAnsi="宋体" w:cs="Arial" w:hint="eastAsia"/>
          <w:bCs/>
          <w:sz w:val="24"/>
        </w:rPr>
        <w:t>公告载明</w:t>
      </w:r>
      <w:r>
        <w:rPr>
          <w:rFonts w:ascii="宋体" w:hAnsi="宋体" w:cs="Arial"/>
          <w:bCs/>
          <w:sz w:val="24"/>
        </w:rPr>
        <w:t>的其他方式进行表决。</w:t>
      </w:r>
    </w:p>
    <w:p w14:paraId="6ACBD83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在同时符合以下条件时，通讯开会的方式视为有效：</w:t>
      </w:r>
    </w:p>
    <w:p w14:paraId="2932C2D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（1）会议召集人按《基金合同》约定公布会议通知后，在2个工作日内连续公布相关提示性公告；</w:t>
      </w:r>
    </w:p>
    <w:p w14:paraId="1B69C4E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统计基金份额持有人的书面表决意见；基金托管人或基金管理人经通知不参加统计书面表决意见的，不影响表决效力；</w:t>
      </w:r>
    </w:p>
    <w:p w14:paraId="43B3324C" w14:textId="77777777" w:rsidR="00C52815" w:rsidRDefault="005C44F4">
      <w:pPr>
        <w:spacing w:line="360" w:lineRule="auto"/>
        <w:ind w:firstLineChars="225" w:firstLine="540"/>
        <w:rPr>
          <w:rFonts w:ascii="宋体" w:hAnsi="宋体" w:cs="Arial"/>
          <w:bCs/>
          <w:sz w:val="24"/>
        </w:rPr>
      </w:pPr>
      <w:r>
        <w:rPr>
          <w:rFonts w:ascii="宋体" w:hAnsi="宋体" w:cs="Arial"/>
          <w:bCs/>
          <w:sz w:val="24"/>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w:t>
      </w:r>
      <w:r>
        <w:rPr>
          <w:rFonts w:ascii="宋体" w:hAnsi="宋体" w:cs="Arial"/>
          <w:sz w:val="24"/>
        </w:rPr>
        <w:t>二分之一</w:t>
      </w:r>
      <w:r>
        <w:rPr>
          <w:rFonts w:ascii="宋体" w:hAnsi="宋体" w:cs="Arial"/>
          <w:bCs/>
          <w:sz w:val="24"/>
        </w:rPr>
        <w:t>，召集人可以在原公告的基金份额持有人大会召开时间的</w:t>
      </w:r>
      <w:r>
        <w:rPr>
          <w:rFonts w:ascii="宋体" w:hAnsi="宋体" w:cs="Arial"/>
          <w:sz w:val="24"/>
        </w:rPr>
        <w:t>3个月以后、6个月以内</w:t>
      </w:r>
      <w:r>
        <w:rPr>
          <w:rFonts w:ascii="宋体" w:hAnsi="宋体" w:cs="Arial"/>
          <w:bCs/>
          <w:sz w:val="24"/>
        </w:rPr>
        <w:t>，就原定审议事项重新召集基金份额持有人大会。重新召集的基金份额持有人大会应当有代表</w:t>
      </w:r>
      <w:r>
        <w:rPr>
          <w:rFonts w:ascii="宋体" w:hAnsi="宋体" w:cs="Arial"/>
          <w:sz w:val="24"/>
        </w:rPr>
        <w:t>三分之一以上（含三分之一）</w:t>
      </w:r>
      <w:r>
        <w:rPr>
          <w:rFonts w:ascii="宋体" w:hAnsi="宋体" w:cs="Arial"/>
          <w:bCs/>
          <w:sz w:val="24"/>
        </w:rPr>
        <w:t>基金份额的持有人直接出具书面意见或授权他人代表出具书面意见；</w:t>
      </w:r>
    </w:p>
    <w:p w14:paraId="4C9D74C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结算机构记录</w:t>
      </w:r>
      <w:r>
        <w:rPr>
          <w:rFonts w:ascii="宋体" w:hAnsi="宋体" w:cs="Arial"/>
          <w:bCs/>
          <w:sz w:val="24"/>
        </w:rPr>
        <w:lastRenderedPageBreak/>
        <w:t>相符。</w:t>
      </w:r>
    </w:p>
    <w:p w14:paraId="4F96216E" w14:textId="4650D937" w:rsidR="00C52815" w:rsidRDefault="005C44F4">
      <w:pPr>
        <w:spacing w:line="360" w:lineRule="auto"/>
        <w:ind w:firstLineChars="200" w:firstLine="480"/>
        <w:rPr>
          <w:rFonts w:ascii="宋体" w:hAnsi="宋体" w:cs="Arial"/>
          <w:bCs/>
          <w:sz w:val="24"/>
        </w:rPr>
      </w:pPr>
      <w:r>
        <w:rPr>
          <w:rFonts w:ascii="宋体" w:hAnsi="宋体" w:cs="Arial"/>
          <w:bCs/>
          <w:sz w:val="24"/>
        </w:rPr>
        <w:t>3、在不与法律法规冲突的前提下，基金份额持有人大会可通过网络、电话</w:t>
      </w:r>
      <w:r w:rsidR="00542B05">
        <w:rPr>
          <w:rFonts w:ascii="宋体" w:hAnsi="宋体" w:cs="Arial"/>
          <w:bCs/>
          <w:sz w:val="24"/>
        </w:rPr>
        <w:t>、短信</w:t>
      </w:r>
      <w:r>
        <w:rPr>
          <w:rFonts w:ascii="宋体" w:hAnsi="宋体" w:cs="Arial"/>
          <w:bCs/>
          <w:sz w:val="24"/>
        </w:rPr>
        <w:t>或其他方式召开，基金份额持有人可以采用书面、网络、电话、短信或其他方式进行表决，具体方式由会议召集人确定并在会议通知中列明。</w:t>
      </w:r>
    </w:p>
    <w:p w14:paraId="4D8D4DB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4、基金份额持有人授权他人代为出席会议并表决的，授权方式可以采用书面、网络、电话、短信或其他方式，具体方式在会议通知中列明。</w:t>
      </w:r>
    </w:p>
    <w:p w14:paraId="40EADCF0" w14:textId="77777777" w:rsidR="00C52815" w:rsidRDefault="005C44F4">
      <w:pPr>
        <w:spacing w:line="360" w:lineRule="auto"/>
        <w:ind w:firstLineChars="200" w:firstLine="480"/>
        <w:rPr>
          <w:rFonts w:ascii="宋体" w:hAnsi="宋体" w:cs="Arial"/>
          <w:bCs/>
          <w:sz w:val="24"/>
        </w:rPr>
      </w:pPr>
      <w:bookmarkStart w:id="228" w:name="_Toc15641224"/>
      <w:bookmarkStart w:id="229" w:name="_Toc57530247"/>
      <w:bookmarkStart w:id="230" w:name="_Toc79392588"/>
      <w:r>
        <w:rPr>
          <w:rFonts w:ascii="宋体" w:hAnsi="宋体" w:cs="Arial"/>
          <w:bCs/>
          <w:sz w:val="24"/>
        </w:rPr>
        <w:t>五、议事内容与程序</w:t>
      </w:r>
      <w:bookmarkEnd w:id="228"/>
      <w:bookmarkEnd w:id="229"/>
      <w:bookmarkEnd w:id="230"/>
    </w:p>
    <w:p w14:paraId="0D2AC84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1、议事内容及提案权</w:t>
      </w:r>
    </w:p>
    <w:p w14:paraId="3D51B3D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议事内容为本部分“一、召开事由”中所述应由基金份额持有人大会审议决定的事项。</w:t>
      </w:r>
    </w:p>
    <w:p w14:paraId="026C2DF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基金份额持有人大会的召集人发出召集会议的通知后，对原有提案的修改应当在基金份额持有人大会召开前及时公告。</w:t>
      </w:r>
    </w:p>
    <w:p w14:paraId="0B2C632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基金份额持有人大会不得对未事先公告的议事内容进行表决。</w:t>
      </w:r>
    </w:p>
    <w:p w14:paraId="40E4A3C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2、议事程序</w:t>
      </w:r>
    </w:p>
    <w:p w14:paraId="1E6B637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（1）现场开会</w:t>
      </w:r>
    </w:p>
    <w:p w14:paraId="18D2E16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现场开会的方式下，首先由大会主持人按照下列第七条规定程序确定和公布计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cs="Arial"/>
          <w:bCs/>
          <w:sz w:val="24"/>
        </w:rPr>
        <w:t>作出</w:t>
      </w:r>
      <w:proofErr w:type="gramEnd"/>
      <w:r>
        <w:rPr>
          <w:rFonts w:ascii="宋体" w:hAnsi="宋体" w:cs="Arial"/>
          <w:bCs/>
          <w:sz w:val="24"/>
        </w:rPr>
        <w:t>的决议的效力。</w:t>
      </w:r>
    </w:p>
    <w:p w14:paraId="6D1D45B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会议召集人应当制作出席会议人员的签名册。签名</w:t>
      </w:r>
      <w:proofErr w:type="gramStart"/>
      <w:r>
        <w:rPr>
          <w:rFonts w:ascii="宋体" w:hAnsi="宋体" w:cs="Arial"/>
          <w:bCs/>
          <w:sz w:val="24"/>
        </w:rPr>
        <w:t>册</w:t>
      </w:r>
      <w:proofErr w:type="gramEnd"/>
      <w:r>
        <w:rPr>
          <w:rFonts w:ascii="宋体" w:hAnsi="宋体" w:cs="Arial"/>
          <w:bCs/>
          <w:sz w:val="24"/>
        </w:rPr>
        <w:t>载明参加会议人员姓名（或单位名称）、身份证明文件号码、持有或代表有表决权的基金份额、委托人姓名（或单位名称）和联系方式等事项。</w:t>
      </w:r>
    </w:p>
    <w:p w14:paraId="1707700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（2）通讯开会</w:t>
      </w:r>
    </w:p>
    <w:p w14:paraId="136125B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在通讯开会的情况下，首先由召集人在收取会议审议事项书面表决意见截止日期前至少提前30日公布提案，在所通知的收取表决意见截止日期后2个工</w:t>
      </w:r>
      <w:r>
        <w:rPr>
          <w:rFonts w:ascii="宋体" w:hAnsi="宋体" w:cs="Arial"/>
          <w:bCs/>
          <w:sz w:val="24"/>
        </w:rPr>
        <w:lastRenderedPageBreak/>
        <w:t>作日内在公证机关监督下由召集人统计全部有效表决，在公证机关监督下形成决议。</w:t>
      </w:r>
    </w:p>
    <w:p w14:paraId="10EFC1C8" w14:textId="77777777" w:rsidR="00C52815" w:rsidRDefault="005C44F4">
      <w:pPr>
        <w:spacing w:line="360" w:lineRule="auto"/>
        <w:ind w:firstLineChars="200" w:firstLine="480"/>
        <w:rPr>
          <w:rFonts w:ascii="宋体" w:hAnsi="宋体" w:cs="Arial"/>
          <w:bCs/>
          <w:sz w:val="24"/>
        </w:rPr>
      </w:pPr>
      <w:bookmarkStart w:id="231" w:name="_Toc79392589"/>
      <w:bookmarkStart w:id="232" w:name="_Toc57530248"/>
      <w:bookmarkStart w:id="233" w:name="_Toc15641225"/>
      <w:r>
        <w:rPr>
          <w:rFonts w:ascii="宋体" w:hAnsi="宋体" w:cs="Arial"/>
          <w:bCs/>
          <w:sz w:val="24"/>
        </w:rPr>
        <w:t>六、表决</w:t>
      </w:r>
      <w:bookmarkEnd w:id="231"/>
      <w:bookmarkEnd w:id="232"/>
      <w:bookmarkEnd w:id="233"/>
    </w:p>
    <w:p w14:paraId="58E9DE4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基金份额持有人所持每份基金份额有一票表决权。</w:t>
      </w:r>
    </w:p>
    <w:p w14:paraId="1F008A8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基金份额持有人大会决议分为一般决议和特别决议：</w:t>
      </w:r>
    </w:p>
    <w:p w14:paraId="72D037B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38F7127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798B6FA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基金份额持有人大会采取记名方式进行投票表决。</w:t>
      </w:r>
    </w:p>
    <w:p w14:paraId="754794D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采取通讯方式进行表决时，除非在计票时有充分的相反证据证明，否则提交符合会议通知中规定的确认投资者身份文件的投资者视为有效出席的投资者，表面符合会议通知规定的书面表决意见视为有效表决，表决意见模糊不清或相互矛盾的视为弃权表决，但应当计入出具书面意见的基金份额持有人所代表的基金份额总数。</w:t>
      </w:r>
    </w:p>
    <w:p w14:paraId="5625CC0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基金份额持有人大会的各项提案或同一项提案内并列的各项议题应当分开审议、逐项表决。</w:t>
      </w:r>
    </w:p>
    <w:p w14:paraId="031207BC" w14:textId="77777777" w:rsidR="00C52815" w:rsidRDefault="005C44F4">
      <w:pPr>
        <w:spacing w:line="360" w:lineRule="auto"/>
        <w:ind w:firstLineChars="200" w:firstLine="480"/>
        <w:rPr>
          <w:rFonts w:ascii="宋体" w:hAnsi="宋体" w:cs="Arial"/>
          <w:bCs/>
          <w:sz w:val="24"/>
        </w:rPr>
      </w:pPr>
      <w:bookmarkStart w:id="234" w:name="_Toc79392590"/>
      <w:bookmarkStart w:id="235" w:name="_Toc57530249"/>
      <w:bookmarkStart w:id="236" w:name="_Toc15641226"/>
      <w:r>
        <w:rPr>
          <w:rFonts w:ascii="宋体" w:hAnsi="宋体" w:cs="Arial"/>
          <w:bCs/>
          <w:sz w:val="24"/>
        </w:rPr>
        <w:t>七、计票</w:t>
      </w:r>
      <w:bookmarkEnd w:id="234"/>
      <w:bookmarkEnd w:id="235"/>
      <w:bookmarkEnd w:id="236"/>
    </w:p>
    <w:p w14:paraId="65BF782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1、现场开会</w:t>
      </w:r>
    </w:p>
    <w:p w14:paraId="7D72887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（1）如大会由基金管理人或基金托管人召集，基金份额持有人大会的主持人应当在会议开始后宣布在出席会议的基金份额持有人和代理人中选举两名基金份额持有人代表与大会召集人授权的</w:t>
      </w:r>
      <w:proofErr w:type="gramStart"/>
      <w:r>
        <w:rPr>
          <w:rFonts w:ascii="宋体" w:hAnsi="宋体" w:cs="Arial"/>
          <w:bCs/>
          <w:sz w:val="24"/>
        </w:rPr>
        <w:t>一</w:t>
      </w:r>
      <w:proofErr w:type="gramEnd"/>
      <w:r>
        <w:rPr>
          <w:rFonts w:ascii="宋体" w:hAnsi="宋体" w:cs="Arial"/>
          <w:bCs/>
          <w:sz w:val="24"/>
        </w:rPr>
        <w:t>名人士共同担任计票人；如大会由基金份额持有人自行召集</w:t>
      </w:r>
      <w:proofErr w:type="gramStart"/>
      <w:r>
        <w:rPr>
          <w:rFonts w:ascii="宋体" w:hAnsi="宋体" w:cs="Arial"/>
          <w:bCs/>
          <w:sz w:val="24"/>
        </w:rPr>
        <w:t>或大会</w:t>
      </w:r>
      <w:proofErr w:type="gramEnd"/>
      <w:r>
        <w:rPr>
          <w:rFonts w:ascii="宋体" w:hAnsi="宋体" w:cs="Arial"/>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计票人。基金管理人或基金托管人不出席大会的，不影响计票的效力。</w:t>
      </w:r>
    </w:p>
    <w:p w14:paraId="2DE9B1C5"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（2）计票人应当在基金份额持有人表决后立即进行清点并由大会主持人当场公布计票结果。</w:t>
      </w:r>
    </w:p>
    <w:p w14:paraId="79558E2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（3）如果会议主持人或基金份额持有人或代理人对于提交的表决结果有异议，可以在宣布表决结果后立即对所投票</w:t>
      </w:r>
      <w:proofErr w:type="gramStart"/>
      <w:r>
        <w:rPr>
          <w:rFonts w:ascii="宋体" w:hAnsi="宋体" w:cs="Arial"/>
          <w:bCs/>
          <w:sz w:val="24"/>
        </w:rPr>
        <w:t>数要求</w:t>
      </w:r>
      <w:proofErr w:type="gramEnd"/>
      <w:r>
        <w:rPr>
          <w:rFonts w:ascii="宋体" w:hAnsi="宋体" w:cs="Arial"/>
          <w:bCs/>
          <w:sz w:val="24"/>
        </w:rPr>
        <w:t>进行重新清点。计票人应当进行重新清点，重新清点以一次为限。重新清点后，大会主持人应当当场公布重新清点结果。</w:t>
      </w:r>
    </w:p>
    <w:p w14:paraId="623A97B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（4）计票过程应由公证机关予以公证，基金管理人或基金托管人拒不出席大会的，不影响计票的效力。</w:t>
      </w:r>
    </w:p>
    <w:p w14:paraId="7CDA96D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2、通讯开会</w:t>
      </w:r>
    </w:p>
    <w:p w14:paraId="68DA077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在通讯开会的情况下，计票方式为：由大会召集人授权的两名人士在基金托管人授权代表（若由基金托管人召集，则为基金管理人授权代表）的监督下进行计票，并由公证机关对其计票过程予以公证</w:t>
      </w:r>
      <w:bookmarkStart w:id="237" w:name="_Toc79392591"/>
      <w:bookmarkStart w:id="238" w:name="_Toc57530250"/>
      <w:bookmarkStart w:id="239" w:name="_Toc15641227"/>
      <w:r>
        <w:rPr>
          <w:rFonts w:ascii="宋体" w:hAnsi="宋体" w:cs="Arial"/>
          <w:bCs/>
          <w:sz w:val="24"/>
        </w:rPr>
        <w:t>。基金管理人或基金托管</w:t>
      </w:r>
      <w:proofErr w:type="gramStart"/>
      <w:r>
        <w:rPr>
          <w:rFonts w:ascii="宋体" w:hAnsi="宋体" w:cs="Arial"/>
          <w:bCs/>
          <w:sz w:val="24"/>
        </w:rPr>
        <w:t>人拒派</w:t>
      </w:r>
      <w:proofErr w:type="gramEnd"/>
      <w:r>
        <w:rPr>
          <w:rFonts w:ascii="宋体" w:hAnsi="宋体" w:cs="Arial"/>
          <w:bCs/>
          <w:sz w:val="24"/>
        </w:rPr>
        <w:t>代表对书面表决意见的计票进行监督的，不影响计票和表决结果。</w:t>
      </w:r>
    </w:p>
    <w:p w14:paraId="0F5CDA7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八、生效与公告</w:t>
      </w:r>
      <w:bookmarkEnd w:id="237"/>
      <w:bookmarkEnd w:id="238"/>
      <w:bookmarkEnd w:id="239"/>
    </w:p>
    <w:p w14:paraId="7835BB3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基金份额持有人大会的决议，召集人应当自通过之日起5日内报中国证监会备案。</w:t>
      </w:r>
    </w:p>
    <w:p w14:paraId="405CA28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基金份额持有人大会的决议自表决通过之日起生效。该表决通过之日为基金份额持有人大会计票完成且计票结果符合法律法规和基金合同规定的决议通过条件之日。</w:t>
      </w:r>
    </w:p>
    <w:p w14:paraId="3CD3AB4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基金份额持有人大会决议生效后应依照《信息披露办法》的有关规定在规定媒介上公告。</w:t>
      </w:r>
      <w:bookmarkStart w:id="240" w:name="_Hlt88820702"/>
      <w:bookmarkEnd w:id="240"/>
    </w:p>
    <w:p w14:paraId="1F5F5A6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基金管理人、基金托管人和基金份额持有人应当执行生效的基金份额持有人大会的决议。生效的基金份额持有人大会决议对全体基金份额持有人、基金管理人、基金托管人均有约束力。</w:t>
      </w:r>
      <w:bookmarkStart w:id="241" w:name="_Toc18769"/>
    </w:p>
    <w:p w14:paraId="281CDCF1" w14:textId="19DFD9AD" w:rsidR="00C52815" w:rsidRDefault="005C44F4">
      <w:pPr>
        <w:spacing w:line="360" w:lineRule="auto"/>
        <w:ind w:firstLineChars="200" w:firstLine="480"/>
        <w:rPr>
          <w:rFonts w:ascii="宋体" w:hAnsi="宋体" w:cs="Arial"/>
          <w:bCs/>
          <w:sz w:val="24"/>
        </w:rPr>
      </w:pPr>
      <w:r>
        <w:rPr>
          <w:rFonts w:ascii="宋体" w:hAnsi="宋体" w:cs="Arial"/>
          <w:bCs/>
          <w:sz w:val="24"/>
        </w:rPr>
        <w:t>九、本部</w:t>
      </w:r>
      <w:proofErr w:type="gramStart"/>
      <w:r>
        <w:rPr>
          <w:rFonts w:ascii="宋体" w:hAnsi="宋体" w:cs="Arial"/>
          <w:bCs/>
          <w:sz w:val="24"/>
        </w:rPr>
        <w:t>分关于</w:t>
      </w:r>
      <w:proofErr w:type="gramEnd"/>
      <w:r>
        <w:rPr>
          <w:rFonts w:ascii="宋体" w:hAnsi="宋体" w:cs="Arial"/>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w:t>
      </w:r>
      <w:r w:rsidR="004A51FD">
        <w:rPr>
          <w:rFonts w:ascii="宋体" w:hAnsi="宋体" w:cs="Arial"/>
          <w:bCs/>
          <w:sz w:val="24"/>
        </w:rPr>
        <w:t>一致</w:t>
      </w:r>
      <w:r w:rsidR="005F3398">
        <w:rPr>
          <w:rFonts w:ascii="宋体" w:hAnsi="宋体" w:cs="Arial" w:hint="eastAsia"/>
          <w:bCs/>
          <w:sz w:val="24"/>
        </w:rPr>
        <w:t>，履行适当程序</w:t>
      </w:r>
      <w:r>
        <w:rPr>
          <w:rFonts w:ascii="宋体" w:hAnsi="宋体" w:cs="Arial"/>
          <w:bCs/>
          <w:sz w:val="24"/>
        </w:rPr>
        <w:t>并提前公告后，可直接对本部分内容进行修改和调整，无需召开基金份额持有人大会审议。</w:t>
      </w:r>
    </w:p>
    <w:p w14:paraId="7654DF1E" w14:textId="77777777" w:rsidR="00C52815" w:rsidRDefault="005C44F4">
      <w:pPr>
        <w:pStyle w:val="1"/>
        <w:jc w:val="center"/>
        <w:rPr>
          <w:rFonts w:hAnsi="宋体" w:cs="Arial"/>
          <w:color w:val="auto"/>
        </w:rPr>
      </w:pPr>
      <w:bookmarkStart w:id="242" w:name="_Toc1745"/>
      <w:bookmarkStart w:id="243" w:name="_Toc3963"/>
      <w:r>
        <w:rPr>
          <w:rFonts w:hAnsi="宋体" w:cs="Arial"/>
          <w:b w:val="0"/>
          <w:bCs/>
          <w:color w:val="auto"/>
        </w:rPr>
        <w:br w:type="page"/>
      </w:r>
      <w:bookmarkStart w:id="244" w:name="_Toc98560355"/>
      <w:bookmarkStart w:id="245" w:name="_Toc21735"/>
      <w:bookmarkStart w:id="246" w:name="_Toc123102456"/>
      <w:bookmarkStart w:id="247" w:name="_Toc31821"/>
      <w:bookmarkStart w:id="248" w:name="_Toc3572"/>
      <w:bookmarkStart w:id="249" w:name="_Toc114406676"/>
      <w:bookmarkStart w:id="250" w:name="_Toc16164"/>
      <w:bookmarkStart w:id="251" w:name="_Toc15256"/>
      <w:bookmarkStart w:id="252" w:name="_Toc3080"/>
      <w:bookmarkStart w:id="253" w:name="_Toc141703889"/>
      <w:bookmarkStart w:id="254" w:name="_Toc139991739"/>
      <w:bookmarkStart w:id="255" w:name="_Toc123112237"/>
      <w:bookmarkStart w:id="256" w:name="_Toc18206"/>
      <w:bookmarkStart w:id="257" w:name="_Toc22528"/>
      <w:bookmarkStart w:id="258" w:name="_Toc10398"/>
      <w:bookmarkStart w:id="259" w:name="_Toc725"/>
      <w:bookmarkStart w:id="260" w:name="_Toc123051455"/>
      <w:bookmarkStart w:id="261" w:name="_Toc1269"/>
      <w:r>
        <w:rPr>
          <w:rFonts w:hAnsi="宋体" w:cs="Arial"/>
          <w:color w:val="auto"/>
          <w:sz w:val="30"/>
        </w:rPr>
        <w:lastRenderedPageBreak/>
        <w:t>第十部分  基金管理人、基金托管人的更换条件和程序</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31006C5F" w14:textId="77777777" w:rsidR="00C52815" w:rsidRDefault="00C52815">
      <w:pPr>
        <w:autoSpaceDE w:val="0"/>
        <w:autoSpaceDN w:val="0"/>
        <w:spacing w:line="360" w:lineRule="auto"/>
        <w:textAlignment w:val="bottom"/>
        <w:rPr>
          <w:rFonts w:ascii="宋体" w:hAnsi="宋体" w:cs="Arial"/>
          <w:bCs/>
          <w:sz w:val="24"/>
        </w:rPr>
      </w:pPr>
      <w:bookmarkStart w:id="262" w:name="_Toc15118245"/>
      <w:bookmarkStart w:id="263" w:name="_Toc57530252"/>
      <w:bookmarkStart w:id="264" w:name="_Toc79392593"/>
    </w:p>
    <w:p w14:paraId="784A56B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一、基金管理人和基金托管人职责终止的情形</w:t>
      </w:r>
      <w:bookmarkEnd w:id="262"/>
      <w:bookmarkEnd w:id="263"/>
      <w:bookmarkEnd w:id="264"/>
    </w:p>
    <w:p w14:paraId="56ECD0DD" w14:textId="77777777" w:rsidR="00C52815" w:rsidRDefault="005C44F4">
      <w:pPr>
        <w:spacing w:line="360" w:lineRule="auto"/>
        <w:ind w:firstLineChars="200" w:firstLine="480"/>
        <w:rPr>
          <w:rFonts w:ascii="宋体" w:hAnsi="宋体" w:cs="Arial"/>
          <w:bCs/>
          <w:sz w:val="24"/>
        </w:rPr>
      </w:pPr>
      <w:bookmarkStart w:id="265" w:name="_Toc22005971"/>
      <w:r>
        <w:rPr>
          <w:rFonts w:ascii="宋体" w:hAnsi="宋体" w:cs="Arial"/>
          <w:bCs/>
          <w:sz w:val="24"/>
        </w:rPr>
        <w:t>（一）</w:t>
      </w:r>
      <w:r>
        <w:rPr>
          <w:rFonts w:ascii="宋体" w:hAnsi="宋体" w:cs="Arial"/>
          <w:bCs/>
          <w:sz w:val="24"/>
        </w:rPr>
        <w:tab/>
        <w:t>基金管理人职责终止的情形</w:t>
      </w:r>
      <w:bookmarkEnd w:id="265"/>
    </w:p>
    <w:p w14:paraId="5615A53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有下列情形之一的，基金管理人职责终止：</w:t>
      </w:r>
    </w:p>
    <w:p w14:paraId="176F531F" w14:textId="37E5D5DC" w:rsidR="00C52815" w:rsidRDefault="005C44F4">
      <w:pPr>
        <w:spacing w:line="360" w:lineRule="auto"/>
        <w:ind w:firstLineChars="200" w:firstLine="480"/>
        <w:rPr>
          <w:rFonts w:ascii="宋体" w:hAnsi="宋体" w:cs="Arial"/>
          <w:bCs/>
          <w:sz w:val="24"/>
        </w:rPr>
      </w:pPr>
      <w:r>
        <w:rPr>
          <w:rFonts w:ascii="宋体" w:hAnsi="宋体" w:cs="Arial"/>
          <w:bCs/>
          <w:sz w:val="24"/>
        </w:rPr>
        <w:t>1、被依法取消基金管理资格；</w:t>
      </w:r>
    </w:p>
    <w:p w14:paraId="24D48B9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2、被基金份额持有人大会解任；</w:t>
      </w:r>
    </w:p>
    <w:p w14:paraId="08FB72E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3、依法解散、被依法撤销或被依法宣告破产；</w:t>
      </w:r>
    </w:p>
    <w:p w14:paraId="3173BBF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4、法律法规及中国证监会规定的和《基金合同》约定的其他情形。</w:t>
      </w:r>
    </w:p>
    <w:p w14:paraId="3FFFE254" w14:textId="77777777" w:rsidR="00C52815" w:rsidRDefault="005C44F4">
      <w:pPr>
        <w:spacing w:line="360" w:lineRule="auto"/>
        <w:ind w:firstLineChars="200" w:firstLine="480"/>
        <w:rPr>
          <w:rFonts w:ascii="宋体" w:hAnsi="宋体" w:cs="Arial"/>
          <w:bCs/>
          <w:sz w:val="24"/>
        </w:rPr>
      </w:pPr>
      <w:bookmarkStart w:id="266" w:name="_Toc22005972"/>
      <w:r>
        <w:rPr>
          <w:rFonts w:ascii="宋体" w:hAnsi="宋体" w:cs="Arial"/>
          <w:bCs/>
          <w:sz w:val="24"/>
        </w:rPr>
        <w:t>（二）</w:t>
      </w:r>
      <w:r>
        <w:rPr>
          <w:rFonts w:ascii="宋体" w:hAnsi="宋体" w:cs="Arial"/>
          <w:bCs/>
          <w:sz w:val="24"/>
        </w:rPr>
        <w:tab/>
        <w:t>基金托管人职责终止的情形</w:t>
      </w:r>
      <w:bookmarkEnd w:id="266"/>
    </w:p>
    <w:p w14:paraId="569A8F4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有下列情形之一的，基金托管人职责终止：</w:t>
      </w:r>
    </w:p>
    <w:p w14:paraId="02784E3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1、被依法取消基金托管资格；</w:t>
      </w:r>
    </w:p>
    <w:p w14:paraId="5C5CAA1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2、被基金份额持有人大会解任；</w:t>
      </w:r>
    </w:p>
    <w:p w14:paraId="69F6B4C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3、依法解散、被依法撤销或被依法宣告破产；</w:t>
      </w:r>
    </w:p>
    <w:p w14:paraId="38817D5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4、法律法规及中国证监会规定的和《基金合同》约定的其他情形。</w:t>
      </w:r>
    </w:p>
    <w:p w14:paraId="5AB2975F" w14:textId="77777777" w:rsidR="00C52815" w:rsidRDefault="005C44F4">
      <w:pPr>
        <w:spacing w:line="360" w:lineRule="auto"/>
        <w:ind w:firstLineChars="200" w:firstLine="480"/>
        <w:rPr>
          <w:rFonts w:ascii="宋体" w:hAnsi="宋体" w:cs="Arial"/>
          <w:bCs/>
          <w:sz w:val="24"/>
        </w:rPr>
      </w:pPr>
      <w:bookmarkStart w:id="267" w:name="_Toc15118246"/>
      <w:bookmarkStart w:id="268" w:name="_Toc79392594"/>
      <w:bookmarkStart w:id="269" w:name="_Toc57530253"/>
      <w:r>
        <w:rPr>
          <w:rFonts w:ascii="宋体" w:hAnsi="宋体" w:cs="Arial"/>
          <w:bCs/>
          <w:sz w:val="24"/>
        </w:rPr>
        <w:t>二、基金管理人和基金托管人的更换程序</w:t>
      </w:r>
      <w:bookmarkEnd w:id="267"/>
      <w:bookmarkEnd w:id="268"/>
      <w:bookmarkEnd w:id="269"/>
    </w:p>
    <w:p w14:paraId="106601C3" w14:textId="77777777" w:rsidR="00C52815" w:rsidRDefault="005C44F4">
      <w:pPr>
        <w:spacing w:line="360" w:lineRule="auto"/>
        <w:ind w:firstLineChars="200" w:firstLine="480"/>
        <w:rPr>
          <w:rFonts w:ascii="宋体" w:hAnsi="宋体" w:cs="Arial"/>
          <w:bCs/>
          <w:sz w:val="24"/>
        </w:rPr>
      </w:pPr>
      <w:bookmarkStart w:id="270" w:name="_Toc22005974"/>
      <w:r>
        <w:rPr>
          <w:rFonts w:ascii="宋体" w:hAnsi="宋体" w:cs="Arial"/>
          <w:bCs/>
          <w:sz w:val="24"/>
        </w:rPr>
        <w:t>（一）</w:t>
      </w:r>
      <w:r>
        <w:rPr>
          <w:rFonts w:ascii="宋体" w:hAnsi="宋体" w:cs="Arial"/>
          <w:bCs/>
          <w:sz w:val="24"/>
        </w:rPr>
        <w:tab/>
        <w:t>基金管理人的更换程序</w:t>
      </w:r>
      <w:bookmarkEnd w:id="270"/>
    </w:p>
    <w:p w14:paraId="345E5F0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1、提名：</w:t>
      </w:r>
      <w:proofErr w:type="gramStart"/>
      <w:r>
        <w:rPr>
          <w:rFonts w:ascii="宋体" w:hAnsi="宋体" w:cs="Arial"/>
          <w:bCs/>
          <w:sz w:val="24"/>
        </w:rPr>
        <w:t>新任基金</w:t>
      </w:r>
      <w:proofErr w:type="gramEnd"/>
      <w:r>
        <w:rPr>
          <w:rFonts w:ascii="宋体" w:hAnsi="宋体" w:cs="Arial"/>
          <w:bCs/>
          <w:sz w:val="24"/>
        </w:rPr>
        <w:t>管理人由基金托管人或由单独或合计持有10%以上（含10%）基金份额的基金份额持有人提名；</w:t>
      </w:r>
    </w:p>
    <w:p w14:paraId="23711498" w14:textId="126C7FEC" w:rsidR="00C52815" w:rsidRDefault="005C44F4">
      <w:pPr>
        <w:spacing w:line="360" w:lineRule="auto"/>
        <w:ind w:firstLineChars="200" w:firstLine="480"/>
        <w:rPr>
          <w:rFonts w:ascii="宋体" w:hAnsi="宋体" w:cs="Arial"/>
          <w:bCs/>
          <w:sz w:val="24"/>
        </w:rPr>
      </w:pPr>
      <w:r>
        <w:rPr>
          <w:rFonts w:ascii="宋体" w:hAnsi="宋体" w:cs="Arial"/>
          <w:bCs/>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442FDEC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3、临时基金管理人：</w:t>
      </w:r>
      <w:proofErr w:type="gramStart"/>
      <w:r>
        <w:rPr>
          <w:rFonts w:ascii="宋体" w:hAnsi="宋体" w:cs="Arial"/>
          <w:bCs/>
          <w:sz w:val="24"/>
        </w:rPr>
        <w:t>新任基金</w:t>
      </w:r>
      <w:proofErr w:type="gramEnd"/>
      <w:r>
        <w:rPr>
          <w:rFonts w:ascii="宋体" w:hAnsi="宋体" w:cs="Arial"/>
          <w:bCs/>
          <w:sz w:val="24"/>
        </w:rPr>
        <w:t>管理人产生之前，由中国证监会指定临时基金管理人；</w:t>
      </w:r>
    </w:p>
    <w:p w14:paraId="7B81CCF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4、备案：基金份额持有人大会更换基金管理人的决议须报中国证监会备案；</w:t>
      </w:r>
    </w:p>
    <w:p w14:paraId="3DA1B9D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5、公告：基金管理人更换后，由基金托管人在</w:t>
      </w:r>
      <w:r>
        <w:rPr>
          <w:rFonts w:ascii="宋体" w:hAnsi="宋体" w:cs="Arial"/>
          <w:sz w:val="24"/>
        </w:rPr>
        <w:t>更换基金管理人的</w:t>
      </w:r>
      <w:r>
        <w:rPr>
          <w:rFonts w:ascii="宋体" w:hAnsi="宋体" w:cs="Arial"/>
          <w:bCs/>
          <w:sz w:val="24"/>
        </w:rPr>
        <w:t>基金份额持有人大会决议生效后依照《信息披露办法》的有关规定在规定媒介公告；</w:t>
      </w:r>
    </w:p>
    <w:p w14:paraId="00631BF1" w14:textId="2336D5E2" w:rsidR="00C52815" w:rsidRDefault="005C44F4">
      <w:pPr>
        <w:spacing w:line="360" w:lineRule="auto"/>
        <w:ind w:firstLineChars="200" w:firstLine="480"/>
        <w:rPr>
          <w:rFonts w:ascii="宋体" w:hAnsi="宋体" w:cs="Arial"/>
          <w:bCs/>
          <w:sz w:val="24"/>
        </w:rPr>
      </w:pPr>
      <w:r>
        <w:rPr>
          <w:rFonts w:ascii="宋体" w:hAnsi="宋体" w:cs="Arial"/>
          <w:bCs/>
          <w:sz w:val="24"/>
        </w:rPr>
        <w:t>6、交接：基金管理人职责终止的，基金管理人应妥善保管基金管理业务资料，及时向临时基金管理人或</w:t>
      </w:r>
      <w:proofErr w:type="gramStart"/>
      <w:r>
        <w:rPr>
          <w:rFonts w:ascii="宋体" w:hAnsi="宋体" w:cs="Arial"/>
          <w:bCs/>
          <w:sz w:val="24"/>
        </w:rPr>
        <w:t>新任基金</w:t>
      </w:r>
      <w:proofErr w:type="gramEnd"/>
      <w:r>
        <w:rPr>
          <w:rFonts w:ascii="宋体" w:hAnsi="宋体" w:cs="Arial"/>
          <w:bCs/>
          <w:sz w:val="24"/>
        </w:rPr>
        <w:t>管理人办理基金管理业务的移交手续，</w:t>
      </w:r>
      <w:r>
        <w:rPr>
          <w:rFonts w:ascii="宋体" w:hAnsi="宋体" w:cs="Arial"/>
          <w:bCs/>
          <w:sz w:val="24"/>
        </w:rPr>
        <w:lastRenderedPageBreak/>
        <w:t>临时基金管理人或</w:t>
      </w:r>
      <w:proofErr w:type="gramStart"/>
      <w:r>
        <w:rPr>
          <w:rFonts w:ascii="宋体" w:hAnsi="宋体" w:cs="Arial"/>
          <w:bCs/>
          <w:sz w:val="24"/>
        </w:rPr>
        <w:t>新任基金</w:t>
      </w:r>
      <w:proofErr w:type="gramEnd"/>
      <w:r>
        <w:rPr>
          <w:rFonts w:ascii="宋体" w:hAnsi="宋体" w:cs="Arial"/>
          <w:bCs/>
          <w:sz w:val="24"/>
        </w:rPr>
        <w:t>管理人应及时接收。</w:t>
      </w:r>
      <w:proofErr w:type="gramStart"/>
      <w:r>
        <w:rPr>
          <w:rFonts w:ascii="宋体" w:hAnsi="宋体" w:cs="Arial"/>
          <w:bCs/>
          <w:sz w:val="24"/>
        </w:rPr>
        <w:t>新任基金</w:t>
      </w:r>
      <w:proofErr w:type="gramEnd"/>
      <w:r>
        <w:rPr>
          <w:rFonts w:ascii="宋体" w:hAnsi="宋体" w:cs="Arial"/>
          <w:bCs/>
          <w:sz w:val="24"/>
        </w:rPr>
        <w:t>管理人或临时基金管理人应与基金托管人核对</w:t>
      </w:r>
      <w:r w:rsidR="00CD3DD1" w:rsidRPr="002A3B05">
        <w:rPr>
          <w:rFonts w:ascii="宋体" w:hAnsi="宋体" w:cs="微软雅黑" w:hint="eastAsia"/>
          <w:sz w:val="24"/>
          <w:szCs w:val="24"/>
        </w:rPr>
        <w:t>基金净值信息</w:t>
      </w:r>
      <w:r>
        <w:rPr>
          <w:rFonts w:ascii="宋体" w:hAnsi="宋体" w:cs="Arial"/>
          <w:bCs/>
          <w:sz w:val="24"/>
        </w:rPr>
        <w:t>；</w:t>
      </w:r>
    </w:p>
    <w:p w14:paraId="75338DD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7、审计：基金管理人职责终止的，应当聘请符合《中华人民共和国证券法》规定的会计师事务所对基金财产进行审计，并将审计结果予以公告，同时报中国证监会备案，审计费用从基金财产中列支；</w:t>
      </w:r>
    </w:p>
    <w:p w14:paraId="55D47DA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8、基金名称变更：基金管理人更换后，如果原任或</w:t>
      </w:r>
      <w:proofErr w:type="gramStart"/>
      <w:r>
        <w:rPr>
          <w:rFonts w:ascii="宋体" w:hAnsi="宋体" w:cs="Arial"/>
          <w:bCs/>
          <w:sz w:val="24"/>
        </w:rPr>
        <w:t>新任基金</w:t>
      </w:r>
      <w:proofErr w:type="gramEnd"/>
      <w:r>
        <w:rPr>
          <w:rFonts w:ascii="宋体" w:hAnsi="宋体" w:cs="Arial"/>
          <w:bCs/>
          <w:sz w:val="24"/>
        </w:rPr>
        <w:t>管理人要求，应按其要求替换或删除基金名称中与</w:t>
      </w:r>
      <w:proofErr w:type="gramStart"/>
      <w:r>
        <w:rPr>
          <w:rFonts w:ascii="宋体" w:hAnsi="宋体" w:cs="Arial"/>
          <w:bCs/>
          <w:sz w:val="24"/>
        </w:rPr>
        <w:t>原基金</w:t>
      </w:r>
      <w:proofErr w:type="gramEnd"/>
      <w:r>
        <w:rPr>
          <w:rFonts w:ascii="宋体" w:hAnsi="宋体" w:cs="Arial"/>
          <w:bCs/>
          <w:sz w:val="24"/>
        </w:rPr>
        <w:t>管理人有关的名称字样。</w:t>
      </w:r>
    </w:p>
    <w:p w14:paraId="53E4E866" w14:textId="77777777" w:rsidR="00C52815" w:rsidRDefault="005C44F4">
      <w:pPr>
        <w:spacing w:line="360" w:lineRule="auto"/>
        <w:ind w:firstLineChars="200" w:firstLine="480"/>
        <w:rPr>
          <w:rFonts w:ascii="宋体" w:hAnsi="宋体" w:cs="Arial"/>
          <w:bCs/>
          <w:sz w:val="24"/>
        </w:rPr>
      </w:pPr>
      <w:bookmarkStart w:id="271" w:name="_Toc22005975"/>
      <w:r>
        <w:rPr>
          <w:rFonts w:ascii="宋体" w:hAnsi="宋体" w:cs="Arial"/>
          <w:bCs/>
          <w:sz w:val="24"/>
        </w:rPr>
        <w:t>（二）</w:t>
      </w:r>
      <w:r>
        <w:rPr>
          <w:rFonts w:ascii="宋体" w:hAnsi="宋体" w:cs="Arial"/>
          <w:bCs/>
          <w:sz w:val="24"/>
        </w:rPr>
        <w:tab/>
        <w:t>基金托管人的更换程序</w:t>
      </w:r>
      <w:bookmarkEnd w:id="271"/>
    </w:p>
    <w:p w14:paraId="0FB4798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1、提名：</w:t>
      </w:r>
      <w:proofErr w:type="gramStart"/>
      <w:r>
        <w:rPr>
          <w:rFonts w:ascii="宋体" w:hAnsi="宋体" w:cs="Arial"/>
          <w:bCs/>
          <w:sz w:val="24"/>
        </w:rPr>
        <w:t>新任基金</w:t>
      </w:r>
      <w:proofErr w:type="gramEnd"/>
      <w:r>
        <w:rPr>
          <w:rFonts w:ascii="宋体" w:hAnsi="宋体" w:cs="Arial"/>
          <w:bCs/>
          <w:sz w:val="24"/>
        </w:rPr>
        <w:t>托管人由基金管理人或由单独或合计持有10%以上（含10%）基金份额的基金份额持有人提名；</w:t>
      </w:r>
    </w:p>
    <w:p w14:paraId="19A62BA6" w14:textId="677437F4" w:rsidR="00C52815" w:rsidRDefault="005C44F4">
      <w:pPr>
        <w:spacing w:line="360" w:lineRule="auto"/>
        <w:ind w:firstLineChars="200" w:firstLine="480"/>
        <w:rPr>
          <w:rFonts w:ascii="宋体" w:hAnsi="宋体" w:cs="Arial"/>
          <w:bCs/>
          <w:sz w:val="24"/>
        </w:rPr>
      </w:pPr>
      <w:r>
        <w:rPr>
          <w:rFonts w:ascii="宋体" w:hAnsi="宋体" w:cs="Arial"/>
          <w:bCs/>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16E5345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3、临时基金托管人：</w:t>
      </w:r>
      <w:proofErr w:type="gramStart"/>
      <w:r>
        <w:rPr>
          <w:rFonts w:ascii="宋体" w:hAnsi="宋体" w:cs="Arial"/>
          <w:bCs/>
          <w:sz w:val="24"/>
        </w:rPr>
        <w:t>新任基金</w:t>
      </w:r>
      <w:proofErr w:type="gramEnd"/>
      <w:r>
        <w:rPr>
          <w:rFonts w:ascii="宋体" w:hAnsi="宋体" w:cs="Arial"/>
          <w:bCs/>
          <w:sz w:val="24"/>
        </w:rPr>
        <w:t>托管人产生之前，由中国证监会指定临时基金托管人；</w:t>
      </w:r>
    </w:p>
    <w:p w14:paraId="7216519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4、备案：基金份额持有人大会更换基金托管人的决议须报中国证监会备案；</w:t>
      </w:r>
    </w:p>
    <w:p w14:paraId="5D45C39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5、公告：基金托管人更换后，</w:t>
      </w:r>
      <w:r>
        <w:rPr>
          <w:rFonts w:ascii="宋体" w:hAnsi="宋体" w:cs="Arial"/>
          <w:sz w:val="24"/>
        </w:rPr>
        <w:t>由基金管理人在</w:t>
      </w:r>
      <w:r>
        <w:rPr>
          <w:rFonts w:ascii="宋体" w:hAnsi="宋体" w:cs="Arial"/>
          <w:bCs/>
          <w:sz w:val="24"/>
        </w:rPr>
        <w:t>更换基金托管人的基金份额持有人大会决议生效后依照《信息披露办法》的有关规定在规定媒介公告；</w:t>
      </w:r>
    </w:p>
    <w:p w14:paraId="586E0DEA" w14:textId="709386D2" w:rsidR="00C52815" w:rsidRDefault="005C44F4">
      <w:pPr>
        <w:spacing w:line="360" w:lineRule="auto"/>
        <w:ind w:firstLineChars="200" w:firstLine="480"/>
        <w:rPr>
          <w:rFonts w:ascii="宋体" w:hAnsi="宋体" w:cs="Arial"/>
          <w:bCs/>
          <w:sz w:val="24"/>
        </w:rPr>
      </w:pPr>
      <w:r>
        <w:rPr>
          <w:rFonts w:ascii="宋体" w:hAnsi="宋体" w:cs="Arial"/>
          <w:bCs/>
          <w:sz w:val="24"/>
        </w:rPr>
        <w:t>6、交接：基金托管人职责终止的，应当妥善保管基金财产和基金托管业务资料，及时办理基金财产和基金托管业务的移交手续，</w:t>
      </w:r>
      <w:proofErr w:type="gramStart"/>
      <w:r>
        <w:rPr>
          <w:rFonts w:ascii="宋体" w:hAnsi="宋体" w:cs="Arial"/>
          <w:bCs/>
          <w:sz w:val="24"/>
        </w:rPr>
        <w:t>新任基金</w:t>
      </w:r>
      <w:proofErr w:type="gramEnd"/>
      <w:r>
        <w:rPr>
          <w:rFonts w:ascii="宋体" w:hAnsi="宋体" w:cs="Arial"/>
          <w:bCs/>
          <w:sz w:val="24"/>
        </w:rPr>
        <w:t>托管人或者临时基金托管人应当及时接收。</w:t>
      </w:r>
      <w:proofErr w:type="gramStart"/>
      <w:r>
        <w:rPr>
          <w:rFonts w:ascii="宋体" w:hAnsi="宋体" w:cs="Arial"/>
          <w:bCs/>
          <w:sz w:val="24"/>
        </w:rPr>
        <w:t>新任基金</w:t>
      </w:r>
      <w:proofErr w:type="gramEnd"/>
      <w:r>
        <w:rPr>
          <w:rFonts w:ascii="宋体" w:hAnsi="宋体" w:cs="Arial"/>
          <w:bCs/>
          <w:sz w:val="24"/>
        </w:rPr>
        <w:t>托管人或临时基金托管人应与基金管理人核对基金</w:t>
      </w:r>
      <w:r w:rsidR="005D1F43" w:rsidRPr="005D1F43">
        <w:rPr>
          <w:rFonts w:ascii="宋体" w:hAnsi="宋体" w:cs="Arial" w:hint="eastAsia"/>
          <w:bCs/>
          <w:sz w:val="24"/>
        </w:rPr>
        <w:t>净值信息</w:t>
      </w:r>
      <w:r>
        <w:rPr>
          <w:rFonts w:ascii="宋体" w:hAnsi="宋体" w:cs="Arial"/>
          <w:bCs/>
          <w:sz w:val="24"/>
        </w:rPr>
        <w:t xml:space="preserve">； </w:t>
      </w:r>
    </w:p>
    <w:p w14:paraId="1118A67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7、审计：基金托管人职责终止的，应当聘请符合《中华人民共和国证券法》规定的会计师事务所对基金财产进行审计，并将审计结果予以公告，同时报中国证监会备案，审计费用从基金财产中列支。</w:t>
      </w:r>
    </w:p>
    <w:p w14:paraId="79B728F9" w14:textId="09B8114D" w:rsidR="00C52815" w:rsidRDefault="005C44F4">
      <w:pPr>
        <w:spacing w:line="360" w:lineRule="auto"/>
        <w:ind w:firstLineChars="200" w:firstLine="480"/>
        <w:rPr>
          <w:rFonts w:ascii="宋体" w:hAnsi="宋体" w:cs="Arial"/>
          <w:bCs/>
          <w:sz w:val="24"/>
        </w:rPr>
      </w:pPr>
      <w:bookmarkStart w:id="272" w:name="_Toc1357"/>
      <w:r>
        <w:rPr>
          <w:rFonts w:ascii="宋体" w:hAnsi="宋体" w:cs="Arial"/>
          <w:bCs/>
          <w:sz w:val="24"/>
        </w:rPr>
        <w:t>（三）基金管理人与基金托管人同时更换的条件和程序</w:t>
      </w:r>
      <w:bookmarkEnd w:id="272"/>
    </w:p>
    <w:p w14:paraId="02ABE16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1、提名：如果基金管理人和基金托管人同时更换，由单独或合计持有10%以上（含10%）基金份额的基金份额持有人提名新的基金管理人和基金托管人；</w:t>
      </w:r>
    </w:p>
    <w:p w14:paraId="16F3EDF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2、基金管理人和基金托管人的更换分别按上述程序进行；</w:t>
      </w:r>
    </w:p>
    <w:p w14:paraId="26FBD3C7"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3、公告：</w:t>
      </w:r>
      <w:proofErr w:type="gramStart"/>
      <w:r>
        <w:rPr>
          <w:rFonts w:ascii="宋体" w:hAnsi="宋体" w:cs="Arial"/>
          <w:bCs/>
          <w:sz w:val="24"/>
        </w:rPr>
        <w:t>新任基金</w:t>
      </w:r>
      <w:proofErr w:type="gramEnd"/>
      <w:r>
        <w:rPr>
          <w:rFonts w:ascii="宋体" w:hAnsi="宋体" w:cs="Arial"/>
          <w:bCs/>
          <w:sz w:val="24"/>
        </w:rPr>
        <w:t>管理人和</w:t>
      </w:r>
      <w:proofErr w:type="gramStart"/>
      <w:r>
        <w:rPr>
          <w:rFonts w:ascii="宋体" w:hAnsi="宋体" w:cs="Arial"/>
          <w:bCs/>
          <w:sz w:val="24"/>
        </w:rPr>
        <w:t>新任基金</w:t>
      </w:r>
      <w:proofErr w:type="gramEnd"/>
      <w:r>
        <w:rPr>
          <w:rFonts w:ascii="宋体" w:hAnsi="宋体" w:cs="Arial"/>
          <w:bCs/>
          <w:sz w:val="24"/>
        </w:rPr>
        <w:t>托管人应在更换基金管理人和基金托管人的基金份额持有人大会决议生效后依照《信息披露办法》的有关规定在规定媒介上联合公告。</w:t>
      </w:r>
    </w:p>
    <w:p w14:paraId="25F83DA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w:t>
      </w:r>
      <w:proofErr w:type="gramStart"/>
      <w:r>
        <w:rPr>
          <w:rFonts w:ascii="宋体" w:hAnsi="宋体" w:cs="Arial"/>
          <w:bCs/>
          <w:sz w:val="24"/>
        </w:rPr>
        <w:t>新任基金</w:t>
      </w:r>
      <w:proofErr w:type="gramEnd"/>
      <w:r>
        <w:rPr>
          <w:rFonts w:ascii="宋体" w:hAnsi="宋体" w:cs="Arial"/>
          <w:bCs/>
          <w:sz w:val="24"/>
        </w:rPr>
        <w:t>管理人或临时基金管理人接收基金管理业务，或</w:t>
      </w:r>
      <w:proofErr w:type="gramStart"/>
      <w:r>
        <w:rPr>
          <w:rFonts w:ascii="宋体" w:hAnsi="宋体" w:cs="Arial"/>
          <w:bCs/>
          <w:sz w:val="24"/>
        </w:rPr>
        <w:t>新任基金</w:t>
      </w:r>
      <w:proofErr w:type="gramEnd"/>
      <w:r>
        <w:rPr>
          <w:rFonts w:ascii="宋体" w:hAnsi="宋体" w:cs="Arial"/>
          <w:bCs/>
          <w:sz w:val="24"/>
        </w:rPr>
        <w:t>托管人或临时基金托管人接收基金财产和基金托管业务前，</w:t>
      </w:r>
      <w:proofErr w:type="gramStart"/>
      <w:r>
        <w:rPr>
          <w:rFonts w:ascii="宋体" w:hAnsi="宋体" w:cs="Arial"/>
          <w:bCs/>
          <w:sz w:val="24"/>
        </w:rPr>
        <w:t>原基金</w:t>
      </w:r>
      <w:proofErr w:type="gramEnd"/>
      <w:r>
        <w:rPr>
          <w:rFonts w:ascii="宋体" w:hAnsi="宋体" w:cs="Arial"/>
          <w:bCs/>
          <w:sz w:val="24"/>
        </w:rPr>
        <w:t>管理人或</w:t>
      </w:r>
      <w:proofErr w:type="gramStart"/>
      <w:r>
        <w:rPr>
          <w:rFonts w:ascii="宋体" w:hAnsi="宋体" w:cs="Arial"/>
          <w:bCs/>
          <w:sz w:val="24"/>
        </w:rPr>
        <w:t>原基金</w:t>
      </w:r>
      <w:proofErr w:type="gramEnd"/>
      <w:r>
        <w:rPr>
          <w:rFonts w:ascii="宋体" w:hAnsi="宋体" w:cs="Arial"/>
          <w:bCs/>
          <w:sz w:val="24"/>
        </w:rPr>
        <w:t>托管人应依据法律法规和基金合同的规定继续履行相关职责，并保证不做出对基金份额持有人的利益造成损害的行为。</w:t>
      </w:r>
      <w:proofErr w:type="gramStart"/>
      <w:r>
        <w:rPr>
          <w:rFonts w:ascii="宋体" w:hAnsi="宋体" w:cs="Arial"/>
          <w:bCs/>
          <w:sz w:val="24"/>
        </w:rPr>
        <w:t>原基金</w:t>
      </w:r>
      <w:proofErr w:type="gramEnd"/>
      <w:r>
        <w:rPr>
          <w:rFonts w:ascii="宋体" w:hAnsi="宋体" w:cs="Arial"/>
          <w:bCs/>
          <w:sz w:val="24"/>
        </w:rPr>
        <w:t>管理人或</w:t>
      </w:r>
      <w:proofErr w:type="gramStart"/>
      <w:r>
        <w:rPr>
          <w:rFonts w:ascii="宋体" w:hAnsi="宋体" w:cs="Arial"/>
          <w:bCs/>
          <w:sz w:val="24"/>
        </w:rPr>
        <w:t>原基金</w:t>
      </w:r>
      <w:proofErr w:type="gramEnd"/>
      <w:r>
        <w:rPr>
          <w:rFonts w:ascii="宋体" w:hAnsi="宋体" w:cs="Arial"/>
          <w:bCs/>
          <w:sz w:val="24"/>
        </w:rPr>
        <w:t>托管人在继续履行相关职责期间，仍有权按照本基金合同的规定收取基金管理费或基金托管费。</w:t>
      </w:r>
    </w:p>
    <w:p w14:paraId="3F611624" w14:textId="757C7469" w:rsidR="00C52815" w:rsidRDefault="005C44F4">
      <w:pPr>
        <w:spacing w:line="360" w:lineRule="auto"/>
        <w:ind w:firstLineChars="200" w:firstLine="480"/>
        <w:rPr>
          <w:rFonts w:ascii="宋体" w:hAnsi="宋体" w:cs="Arial"/>
          <w:bCs/>
          <w:sz w:val="24"/>
        </w:rPr>
      </w:pPr>
      <w:r>
        <w:rPr>
          <w:rFonts w:ascii="宋体" w:hAnsi="宋体" w:cs="Arial"/>
          <w:bCs/>
          <w:sz w:val="24"/>
        </w:rPr>
        <w:t>三、本部</w:t>
      </w:r>
      <w:proofErr w:type="gramStart"/>
      <w:r>
        <w:rPr>
          <w:rFonts w:ascii="宋体" w:hAnsi="宋体" w:cs="Arial"/>
          <w:bCs/>
          <w:sz w:val="24"/>
        </w:rPr>
        <w:t>分关于</w:t>
      </w:r>
      <w:proofErr w:type="gramEnd"/>
      <w:r>
        <w:rPr>
          <w:rFonts w:ascii="宋体" w:hAnsi="宋体" w:cs="Arial"/>
          <w:bCs/>
          <w:sz w:val="24"/>
        </w:rPr>
        <w:t>基金管理人、基金托管人更换条件和程序除应符合本部分的约定外，还应符合第九部分“基金份额持有人大会”的约定。在基金管理人、基金托管人更换事宜中，凡是直接引用法律法规或监管规则的部分，如将来法律法规或监管规则修改导致相关内容被取消或变更的，基金管理人与基金托管人协商一致</w:t>
      </w:r>
      <w:r w:rsidR="00204552">
        <w:rPr>
          <w:rFonts w:ascii="宋体" w:hAnsi="宋体" w:cs="Arial" w:hint="eastAsia"/>
          <w:bCs/>
          <w:sz w:val="24"/>
        </w:rPr>
        <w:t>，履行适当程序</w:t>
      </w:r>
      <w:r>
        <w:rPr>
          <w:rFonts w:ascii="宋体" w:hAnsi="宋体" w:cs="Arial"/>
          <w:bCs/>
          <w:sz w:val="24"/>
        </w:rPr>
        <w:t>并提前公告后，可直接对相应内容进行修改和调整，无需召开基金份额持有人大会审议。</w:t>
      </w:r>
    </w:p>
    <w:p w14:paraId="0A9B35F4" w14:textId="77777777" w:rsidR="00C52815" w:rsidRDefault="005C44F4">
      <w:pPr>
        <w:pStyle w:val="1"/>
        <w:spacing w:before="0" w:after="0"/>
        <w:jc w:val="center"/>
        <w:rPr>
          <w:rFonts w:hAnsi="宋体" w:cs="Arial"/>
          <w:color w:val="auto"/>
          <w:sz w:val="30"/>
        </w:rPr>
      </w:pPr>
      <w:r>
        <w:rPr>
          <w:rFonts w:hAnsi="宋体" w:cs="Arial"/>
          <w:b w:val="0"/>
          <w:bCs/>
          <w:color w:val="auto"/>
          <w:kern w:val="2"/>
        </w:rPr>
        <w:br w:type="page"/>
      </w:r>
      <w:bookmarkStart w:id="273" w:name="_Toc123102457"/>
      <w:bookmarkStart w:id="274" w:name="_Toc79392622"/>
      <w:bookmarkStart w:id="275" w:name="_Toc8791"/>
      <w:bookmarkStart w:id="276" w:name="_Toc739"/>
      <w:bookmarkStart w:id="277" w:name="_Toc20976"/>
      <w:bookmarkStart w:id="278" w:name="_Toc123112238"/>
      <w:bookmarkStart w:id="279" w:name="_Toc29408"/>
      <w:bookmarkStart w:id="280" w:name="_Toc21237"/>
      <w:bookmarkStart w:id="281" w:name="_Toc13123"/>
      <w:bookmarkStart w:id="282" w:name="_Toc123051456"/>
      <w:bookmarkStart w:id="283" w:name="_Toc32584"/>
      <w:bookmarkStart w:id="284" w:name="_Toc48649708"/>
      <w:bookmarkStart w:id="285" w:name="_Toc17920"/>
      <w:bookmarkStart w:id="286" w:name="_Toc5170"/>
      <w:bookmarkStart w:id="287" w:name="_Toc10916"/>
      <w:bookmarkStart w:id="288" w:name="_Toc139991740"/>
      <w:bookmarkStart w:id="289" w:name="_Toc3329"/>
      <w:bookmarkStart w:id="290" w:name="_Toc98560356"/>
      <w:bookmarkStart w:id="291" w:name="_Toc14995"/>
      <w:bookmarkStart w:id="292" w:name="_Toc141703890"/>
      <w:bookmarkStart w:id="293" w:name="_Toc32092"/>
      <w:bookmarkStart w:id="294" w:name="_Toc17198"/>
      <w:bookmarkStart w:id="295" w:name="_Toc114406677"/>
      <w:bookmarkEnd w:id="178"/>
      <w:r>
        <w:rPr>
          <w:rFonts w:hAnsi="宋体" w:cs="Arial"/>
          <w:color w:val="auto"/>
          <w:sz w:val="30"/>
        </w:rPr>
        <w:lastRenderedPageBreak/>
        <w:t>第十一部分  基金的托管</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7F718111" w14:textId="77777777" w:rsidR="00C52815" w:rsidRDefault="00C52815">
      <w:pPr>
        <w:autoSpaceDE w:val="0"/>
        <w:autoSpaceDN w:val="0"/>
        <w:spacing w:line="360" w:lineRule="auto"/>
        <w:textAlignment w:val="bottom"/>
        <w:rPr>
          <w:rFonts w:ascii="宋体" w:hAnsi="宋体" w:cs="Arial"/>
          <w:bCs/>
          <w:sz w:val="24"/>
        </w:rPr>
      </w:pPr>
    </w:p>
    <w:p w14:paraId="4071688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基金托管人和基金管理人按照《基金法》、《基金合同》及其他有关规定订立托管协议。</w:t>
      </w:r>
    </w:p>
    <w:p w14:paraId="59C4E155" w14:textId="77777777" w:rsidR="00C52815" w:rsidRDefault="005C44F4">
      <w:pPr>
        <w:autoSpaceDE w:val="0"/>
        <w:autoSpaceDN w:val="0"/>
        <w:spacing w:line="360" w:lineRule="auto"/>
        <w:ind w:firstLineChars="200" w:firstLine="480"/>
        <w:textAlignment w:val="bottom"/>
        <w:rPr>
          <w:rFonts w:ascii="宋体" w:hAnsi="宋体" w:cs="Arial"/>
          <w:bCs/>
          <w:sz w:val="24"/>
        </w:rPr>
      </w:pPr>
      <w:r>
        <w:rPr>
          <w:rFonts w:ascii="宋体" w:hAnsi="宋体" w:cs="Arial"/>
          <w:bCs/>
          <w:sz w:val="24"/>
        </w:rPr>
        <w:t>订立托管协议的目的是明确基金托管人与基金管理人之间在基金财产的保管、投资运作、净值计算、收益分配、信息披露、基金份额持有人名册的建立和保管及相互监督等相关事宜中的权利义务及职责，确保基金财产的安全，保护基金份额持有人的合法权益。</w:t>
      </w:r>
    </w:p>
    <w:p w14:paraId="71055A3C" w14:textId="77777777" w:rsidR="00C52815" w:rsidRDefault="005C44F4">
      <w:pPr>
        <w:pStyle w:val="1"/>
        <w:spacing w:before="0" w:after="0"/>
        <w:jc w:val="center"/>
        <w:rPr>
          <w:rFonts w:hAnsi="宋体" w:cs="Arial"/>
          <w:color w:val="auto"/>
          <w:sz w:val="30"/>
        </w:rPr>
      </w:pPr>
      <w:r>
        <w:rPr>
          <w:rFonts w:hAnsi="宋体" w:cs="Arial"/>
          <w:b w:val="0"/>
          <w:bCs/>
          <w:color w:val="auto"/>
        </w:rPr>
        <w:br w:type="page"/>
      </w:r>
      <w:bookmarkStart w:id="296" w:name="_Toc26084"/>
      <w:bookmarkStart w:id="297" w:name="_Toc98560357"/>
      <w:bookmarkStart w:id="298" w:name="_Toc14725"/>
      <w:bookmarkStart w:id="299" w:name="_Toc48649710"/>
      <w:bookmarkStart w:id="300" w:name="_Toc3244"/>
      <w:bookmarkStart w:id="301" w:name="_Toc79392624"/>
      <w:bookmarkStart w:id="302" w:name="_Toc21886"/>
      <w:bookmarkStart w:id="303" w:name="_Toc19520"/>
      <w:bookmarkStart w:id="304" w:name="_Toc123112239"/>
      <w:bookmarkStart w:id="305" w:name="_Toc26152"/>
      <w:bookmarkStart w:id="306" w:name="_Toc26383"/>
      <w:bookmarkStart w:id="307" w:name="_Toc123102458"/>
      <w:bookmarkStart w:id="308" w:name="_Toc139991741"/>
      <w:bookmarkStart w:id="309" w:name="_Toc141703891"/>
      <w:bookmarkStart w:id="310" w:name="_Toc123051457"/>
      <w:bookmarkStart w:id="311" w:name="_Toc31469"/>
      <w:bookmarkStart w:id="312" w:name="_Toc2255"/>
      <w:bookmarkStart w:id="313" w:name="_Toc16789"/>
      <w:bookmarkStart w:id="314" w:name="_Toc22674"/>
      <w:bookmarkStart w:id="315" w:name="_Toc30005"/>
      <w:bookmarkStart w:id="316" w:name="_Toc14618"/>
      <w:bookmarkStart w:id="317" w:name="_Toc9171"/>
      <w:bookmarkStart w:id="318" w:name="_Toc114406678"/>
      <w:r>
        <w:rPr>
          <w:rFonts w:hAnsi="宋体" w:cs="Arial"/>
          <w:color w:val="auto"/>
          <w:sz w:val="30"/>
        </w:rPr>
        <w:lastRenderedPageBreak/>
        <w:t>第十二部分  基金份额的登记</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Pr>
          <w:rFonts w:hAnsi="宋体" w:cs="Arial"/>
          <w:color w:val="auto"/>
          <w:sz w:val="30"/>
        </w:rPr>
        <w:t>结算</w:t>
      </w:r>
      <w:bookmarkEnd w:id="315"/>
      <w:bookmarkEnd w:id="316"/>
      <w:bookmarkEnd w:id="317"/>
      <w:bookmarkEnd w:id="318"/>
    </w:p>
    <w:p w14:paraId="7563A043" w14:textId="77777777" w:rsidR="00C52815" w:rsidRDefault="00C52815">
      <w:pPr>
        <w:autoSpaceDE w:val="0"/>
        <w:autoSpaceDN w:val="0"/>
        <w:spacing w:line="360" w:lineRule="auto"/>
        <w:textAlignment w:val="bottom"/>
        <w:rPr>
          <w:rFonts w:ascii="宋体" w:hAnsi="宋体" w:cs="Arial"/>
          <w:bCs/>
          <w:sz w:val="24"/>
        </w:rPr>
      </w:pPr>
    </w:p>
    <w:p w14:paraId="0A081CE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一、基金的份额登记结算业务</w:t>
      </w:r>
    </w:p>
    <w:p w14:paraId="7449BFC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登记结算业务指《中国证券登记结算有限责任公司关于交易所交易型开放式证券投资基金登记结算业务实施细则》及其不时修订以及相关业务规则所定义的基金份额登记、存管、结算等相关业务。基金管理人应与登记结算机构签订委托代理协议，以明确双方的权利义务，保护基金投资人和基金份额持有人的合法权益。</w:t>
      </w:r>
    </w:p>
    <w:p w14:paraId="05F02A3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二、基金登记结算业务办理机构</w:t>
      </w:r>
    </w:p>
    <w:p w14:paraId="6990B21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本基金的登记结算机构为中国证券登记结算有限责任公司。</w:t>
      </w:r>
    </w:p>
    <w:p w14:paraId="6F0CC69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三、基金登记结算机构的权利</w:t>
      </w:r>
      <w:bookmarkStart w:id="319" w:name="_Hlt88820748"/>
      <w:bookmarkEnd w:id="319"/>
    </w:p>
    <w:p w14:paraId="582C5FF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基金登记结算机构享有以下权利：</w:t>
      </w:r>
    </w:p>
    <w:p w14:paraId="396A1BA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1、取得登记结算费；</w:t>
      </w:r>
    </w:p>
    <w:p w14:paraId="36B309B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2、建立和管理投资者基金账户；</w:t>
      </w:r>
    </w:p>
    <w:p w14:paraId="0D879E1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3、保管基金份额持有人开户资料、交易资料、基金份额持有人名册等；</w:t>
      </w:r>
    </w:p>
    <w:p w14:paraId="26C8F3E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4、在法律法规允许的范围内，制定和调整登记结算业务规则，对登记结算业务的办理时间进行调整，并依照有关规定于开始实施前在规定媒介上公告；</w:t>
      </w:r>
    </w:p>
    <w:p w14:paraId="0641E86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5、法律法规及中国证监会规定的和《基金合同》约定的其他权利。</w:t>
      </w:r>
    </w:p>
    <w:p w14:paraId="297E223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四、基金登记结算机构的义务</w:t>
      </w:r>
    </w:p>
    <w:p w14:paraId="66F4886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基金登记结算机构承担以下义务：</w:t>
      </w:r>
    </w:p>
    <w:p w14:paraId="4E21B62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1、建立和保管基金份额持有人开户资料、交易资料、基金份额持有人名册等，并向基金管理人、基金托管人提供基金份额持有人名册服务；</w:t>
      </w:r>
    </w:p>
    <w:p w14:paraId="7E54DA3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2、配备足够的专业人员办理本基金份额的登记结算业务；</w:t>
      </w:r>
    </w:p>
    <w:p w14:paraId="1845569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3、严格按照法律法规、相关业务规则及其不时修订和《基金合同》规定的条件办理本基金份额的登记结算业务；</w:t>
      </w:r>
    </w:p>
    <w:p w14:paraId="37179F38" w14:textId="3911122B" w:rsidR="00C52815" w:rsidRDefault="005C44F4">
      <w:pPr>
        <w:spacing w:line="360" w:lineRule="auto"/>
        <w:ind w:firstLineChars="200" w:firstLine="480"/>
        <w:rPr>
          <w:rFonts w:ascii="宋体" w:hAnsi="宋体" w:cs="Arial"/>
          <w:bCs/>
          <w:sz w:val="24"/>
        </w:rPr>
      </w:pPr>
      <w:r>
        <w:rPr>
          <w:rFonts w:ascii="宋体" w:hAnsi="宋体" w:cs="Arial"/>
          <w:bCs/>
          <w:sz w:val="24"/>
        </w:rPr>
        <w:t>4、妥善保存登记数据，并将基金份额持有人</w:t>
      </w:r>
      <w:r w:rsidR="004A51FD">
        <w:rPr>
          <w:rFonts w:ascii="宋体" w:hAnsi="宋体" w:cs="Arial"/>
          <w:bCs/>
          <w:sz w:val="24"/>
        </w:rPr>
        <w:t>姓名或</w:t>
      </w:r>
      <w:r>
        <w:rPr>
          <w:rFonts w:ascii="宋体" w:hAnsi="宋体" w:cs="Arial"/>
          <w:bCs/>
          <w:sz w:val="24"/>
        </w:rPr>
        <w:t>名称、身份信息及基金份额明细等数据备份至中国证监会认定的机构。其保存期限不得低于法律法规规定的最低年限；</w:t>
      </w:r>
    </w:p>
    <w:p w14:paraId="2044024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5、对基金份额持有人的基金账户信息负有保密义务，因违反该保密义务对</w:t>
      </w:r>
      <w:r>
        <w:rPr>
          <w:rFonts w:ascii="宋体" w:hAnsi="宋体" w:cs="Arial"/>
          <w:bCs/>
          <w:sz w:val="24"/>
        </w:rPr>
        <w:lastRenderedPageBreak/>
        <w:t>投资者或基金带来的损失，须承担相应的赔偿责任，但司法强制检查情形及法律法规及中国证监会规定的和《基金合同》约定的其他情形除外；</w:t>
      </w:r>
    </w:p>
    <w:p w14:paraId="6C1957C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6、按《基金合同》及招募说明书规定为投资者办理</w:t>
      </w:r>
      <w:proofErr w:type="gramStart"/>
      <w:r>
        <w:rPr>
          <w:rFonts w:ascii="宋体" w:hAnsi="宋体" w:cs="Arial"/>
          <w:bCs/>
          <w:sz w:val="24"/>
        </w:rPr>
        <w:t>非交易</w:t>
      </w:r>
      <w:proofErr w:type="gramEnd"/>
      <w:r>
        <w:rPr>
          <w:rFonts w:ascii="宋体" w:hAnsi="宋体" w:cs="Arial"/>
          <w:bCs/>
          <w:sz w:val="24"/>
        </w:rPr>
        <w:t>过户业务、提供其他必要的服务；</w:t>
      </w:r>
    </w:p>
    <w:p w14:paraId="234A622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7、接受基金管理人的监督；</w:t>
      </w:r>
    </w:p>
    <w:p w14:paraId="77A3AC8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8、法律法规及中国证监会规定的和《基金合同》约定的其他义务。</w:t>
      </w:r>
    </w:p>
    <w:p w14:paraId="5D1FCD9A" w14:textId="77777777" w:rsidR="00C52815" w:rsidRDefault="005C44F4">
      <w:pPr>
        <w:pStyle w:val="1"/>
        <w:spacing w:before="0" w:after="0"/>
        <w:jc w:val="center"/>
        <w:rPr>
          <w:rFonts w:hAnsi="宋体" w:cs="Arial"/>
          <w:color w:val="auto"/>
          <w:sz w:val="30"/>
        </w:rPr>
      </w:pPr>
      <w:r>
        <w:rPr>
          <w:rFonts w:hAnsi="宋体" w:cs="Arial"/>
          <w:b w:val="0"/>
          <w:bCs/>
          <w:color w:val="auto"/>
        </w:rPr>
        <w:br w:type="page"/>
      </w:r>
      <w:bookmarkStart w:id="320" w:name="_Toc13343"/>
      <w:bookmarkStart w:id="321" w:name="_Toc578"/>
      <w:bookmarkStart w:id="322" w:name="_Toc13408"/>
      <w:bookmarkStart w:id="323" w:name="_Toc21917"/>
      <w:bookmarkStart w:id="324" w:name="_Toc2981"/>
      <w:bookmarkStart w:id="325" w:name="_Toc3872"/>
      <w:bookmarkStart w:id="326" w:name="_Toc114406679"/>
      <w:bookmarkStart w:id="327" w:name="_Toc16437"/>
      <w:bookmarkStart w:id="328" w:name="_Toc22538"/>
      <w:bookmarkStart w:id="329" w:name="_Toc11395"/>
      <w:bookmarkStart w:id="330" w:name="_Toc28790"/>
      <w:bookmarkStart w:id="331" w:name="_Toc5477"/>
      <w:bookmarkStart w:id="332" w:name="_Toc801"/>
      <w:bookmarkStart w:id="333" w:name="_Toc11351"/>
      <w:bookmarkStart w:id="334" w:name="_Toc32532"/>
      <w:r>
        <w:rPr>
          <w:rFonts w:hAnsi="宋体" w:cs="Arial"/>
          <w:color w:val="auto"/>
          <w:sz w:val="30"/>
        </w:rPr>
        <w:lastRenderedPageBreak/>
        <w:t>第十三部分  基金的投资</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281F7D44" w14:textId="77777777" w:rsidR="00C52815" w:rsidRDefault="00C52815">
      <w:pPr>
        <w:spacing w:line="360" w:lineRule="auto"/>
        <w:ind w:firstLineChars="200" w:firstLine="480"/>
        <w:rPr>
          <w:rFonts w:ascii="宋体" w:hAnsi="宋体" w:cs="Arial"/>
          <w:bCs/>
          <w:sz w:val="24"/>
        </w:rPr>
      </w:pPr>
    </w:p>
    <w:p w14:paraId="5B1557E4" w14:textId="77777777" w:rsidR="00C52815" w:rsidRDefault="005C44F4">
      <w:pPr>
        <w:spacing w:line="360" w:lineRule="auto"/>
        <w:ind w:firstLineChars="200" w:firstLine="480"/>
        <w:rPr>
          <w:rFonts w:ascii="宋体" w:hAnsi="宋体" w:cs="Arial"/>
          <w:bCs/>
          <w:sz w:val="24"/>
        </w:rPr>
      </w:pPr>
      <w:bookmarkStart w:id="335" w:name="OLE_LINK7"/>
      <w:bookmarkStart w:id="336" w:name="OLE_LINK8"/>
      <w:r>
        <w:rPr>
          <w:rFonts w:ascii="宋体" w:hAnsi="宋体" w:cs="Arial"/>
          <w:bCs/>
          <w:sz w:val="24"/>
        </w:rPr>
        <w:t>一、投资目标</w:t>
      </w:r>
    </w:p>
    <w:p w14:paraId="5CD9BCE3" w14:textId="34600BBD" w:rsidR="00C52815" w:rsidRDefault="005C44F4">
      <w:pPr>
        <w:spacing w:line="360" w:lineRule="auto"/>
        <w:ind w:firstLine="420"/>
        <w:rPr>
          <w:rFonts w:ascii="宋体" w:hAnsi="宋体" w:cs="Arial"/>
          <w:bCs/>
          <w:sz w:val="24"/>
        </w:rPr>
      </w:pPr>
      <w:r>
        <w:rPr>
          <w:rFonts w:ascii="宋体" w:hAnsi="宋体" w:cs="Arial" w:hint="eastAsia"/>
          <w:bCs/>
          <w:sz w:val="24"/>
        </w:rPr>
        <w:t>本基金进行被动式指数化投资，紧密跟踪标的指数，追求跟踪偏离度和跟踪误差的最小化，</w:t>
      </w:r>
      <w:r w:rsidR="00884C7F" w:rsidRPr="00884C7F">
        <w:rPr>
          <w:rFonts w:ascii="宋体" w:hAnsi="宋体" w:cs="Arial" w:hint="eastAsia"/>
          <w:bCs/>
          <w:sz w:val="24"/>
        </w:rPr>
        <w:t>力争日均跟踪偏离度的绝对值不超过0.35%，</w:t>
      </w:r>
      <w:proofErr w:type="gramStart"/>
      <w:r w:rsidR="00884C7F" w:rsidRPr="00884C7F">
        <w:rPr>
          <w:rFonts w:ascii="宋体" w:hAnsi="宋体" w:cs="Arial" w:hint="eastAsia"/>
          <w:bCs/>
          <w:sz w:val="24"/>
        </w:rPr>
        <w:t>年化跟踪误差</w:t>
      </w:r>
      <w:proofErr w:type="gramEnd"/>
      <w:r w:rsidR="00884C7F" w:rsidRPr="00884C7F">
        <w:rPr>
          <w:rFonts w:ascii="宋体" w:hAnsi="宋体" w:cs="Arial" w:hint="eastAsia"/>
          <w:bCs/>
          <w:sz w:val="24"/>
        </w:rPr>
        <w:t>不超过4%</w:t>
      </w:r>
      <w:r>
        <w:rPr>
          <w:rFonts w:ascii="宋体" w:hAnsi="宋体" w:cs="Arial"/>
          <w:bCs/>
          <w:sz w:val="24"/>
        </w:rPr>
        <w:t xml:space="preserve">。 </w:t>
      </w:r>
    </w:p>
    <w:p w14:paraId="2830425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二、投资范围</w:t>
      </w:r>
    </w:p>
    <w:p w14:paraId="6E94BD79" w14:textId="77777777" w:rsidR="00A72A3F" w:rsidRPr="00A72A3F" w:rsidRDefault="00A72A3F" w:rsidP="00A72A3F">
      <w:pPr>
        <w:spacing w:line="360" w:lineRule="auto"/>
        <w:ind w:firstLineChars="200" w:firstLine="480"/>
        <w:rPr>
          <w:rFonts w:ascii="宋体" w:hAnsi="宋体" w:cs="Arial"/>
          <w:bCs/>
          <w:sz w:val="24"/>
        </w:rPr>
      </w:pPr>
      <w:r w:rsidRPr="00A72A3F">
        <w:rPr>
          <w:rFonts w:ascii="宋体" w:hAnsi="宋体" w:cs="Arial" w:hint="eastAsia"/>
          <w:bCs/>
          <w:sz w:val="24"/>
        </w:rPr>
        <w:t>本基金的投资范围主要为标的指数成份股和备选成份股（</w:t>
      </w:r>
      <w:proofErr w:type="gramStart"/>
      <w:r w:rsidRPr="00A72A3F">
        <w:rPr>
          <w:rFonts w:ascii="宋体" w:hAnsi="宋体" w:cs="Arial" w:hint="eastAsia"/>
          <w:bCs/>
          <w:sz w:val="24"/>
        </w:rPr>
        <w:t>含存托</w:t>
      </w:r>
      <w:proofErr w:type="gramEnd"/>
      <w:r w:rsidRPr="00A72A3F">
        <w:rPr>
          <w:rFonts w:ascii="宋体" w:hAnsi="宋体" w:cs="Arial" w:hint="eastAsia"/>
          <w:bCs/>
          <w:sz w:val="24"/>
        </w:rPr>
        <w:t>凭证，下同）。此外，为更好地实现投资目标，本基金可少量投资于部分非成份股（包含主板、创业板、</w:t>
      </w:r>
      <w:proofErr w:type="gramStart"/>
      <w:r w:rsidRPr="00A72A3F">
        <w:rPr>
          <w:rFonts w:ascii="宋体" w:hAnsi="宋体" w:cs="Arial" w:hint="eastAsia"/>
          <w:bCs/>
          <w:sz w:val="24"/>
        </w:rPr>
        <w:t>科创板</w:t>
      </w:r>
      <w:proofErr w:type="gramEnd"/>
      <w:r w:rsidRPr="00A72A3F">
        <w:rPr>
          <w:rFonts w:ascii="宋体" w:hAnsi="宋体" w:cs="Arial" w:hint="eastAsia"/>
          <w:bCs/>
          <w:sz w:val="24"/>
        </w:rPr>
        <w:t>、依法发行上市的其他港股通标的股票及其他依法发行上市的股票、存托凭证）、债券资产（国债、地方政府债、金融债、企业债、公司债、次级债、可转换债券（含分离交易可转债）、可交换债券、央行票据、中期票据、短期融资</w:t>
      </w:r>
      <w:proofErr w:type="gramStart"/>
      <w:r w:rsidRPr="00A72A3F">
        <w:rPr>
          <w:rFonts w:ascii="宋体" w:hAnsi="宋体" w:cs="Arial" w:hint="eastAsia"/>
          <w:bCs/>
          <w:sz w:val="24"/>
        </w:rPr>
        <w:t>券</w:t>
      </w:r>
      <w:proofErr w:type="gramEnd"/>
      <w:r w:rsidRPr="00A72A3F">
        <w:rPr>
          <w:rFonts w:ascii="宋体" w:hAnsi="宋体" w:cs="Arial" w:hint="eastAsia"/>
          <w:bCs/>
          <w:sz w:val="24"/>
        </w:rPr>
        <w:t>、超短期融资</w:t>
      </w:r>
      <w:proofErr w:type="gramStart"/>
      <w:r w:rsidRPr="00A72A3F">
        <w:rPr>
          <w:rFonts w:ascii="宋体" w:hAnsi="宋体" w:cs="Arial" w:hint="eastAsia"/>
          <w:bCs/>
          <w:sz w:val="24"/>
        </w:rPr>
        <w:t>券</w:t>
      </w:r>
      <w:proofErr w:type="gramEnd"/>
      <w:r w:rsidRPr="00A72A3F">
        <w:rPr>
          <w:rFonts w:ascii="宋体" w:hAnsi="宋体" w:cs="Arial" w:hint="eastAsia"/>
          <w:bCs/>
          <w:sz w:val="24"/>
        </w:rPr>
        <w:t>等）、资产支持证券、衍生工具（股指期货、股票期权、国债期货等）、债券回购、银行存款、同业存单、现金资产以及中国证监会允许基金投资的其他金融工具（但须符合中国证监会的相关规定）。</w:t>
      </w:r>
    </w:p>
    <w:p w14:paraId="5B35B97A" w14:textId="77777777" w:rsidR="00A72A3F" w:rsidRPr="00A72A3F" w:rsidRDefault="00A72A3F" w:rsidP="00A72A3F">
      <w:pPr>
        <w:spacing w:line="360" w:lineRule="auto"/>
        <w:ind w:firstLineChars="200" w:firstLine="480"/>
        <w:rPr>
          <w:rFonts w:ascii="宋体" w:hAnsi="宋体" w:cs="Arial"/>
          <w:bCs/>
          <w:sz w:val="24"/>
        </w:rPr>
      </w:pPr>
      <w:r w:rsidRPr="00A72A3F">
        <w:rPr>
          <w:rFonts w:ascii="宋体" w:hAnsi="宋体" w:cs="Arial" w:hint="eastAsia"/>
          <w:bCs/>
          <w:sz w:val="24"/>
        </w:rPr>
        <w:t>本基金可根据相关法律法规和基金合同的约定，参与融资业务和转融通证券出借业务。</w:t>
      </w:r>
    </w:p>
    <w:p w14:paraId="3B9E4643" w14:textId="0E74C39F" w:rsidR="001812B3" w:rsidRDefault="00A72A3F" w:rsidP="00A72A3F">
      <w:pPr>
        <w:spacing w:line="360" w:lineRule="auto"/>
        <w:ind w:firstLineChars="200" w:firstLine="480"/>
        <w:rPr>
          <w:rFonts w:ascii="宋体" w:hAnsi="宋体" w:cs="Arial"/>
          <w:bCs/>
          <w:sz w:val="24"/>
        </w:rPr>
      </w:pPr>
      <w:r w:rsidRPr="00A72A3F">
        <w:rPr>
          <w:rFonts w:ascii="宋体" w:hAnsi="宋体" w:cs="Arial" w:hint="eastAsia"/>
          <w:bCs/>
          <w:sz w:val="24"/>
        </w:rPr>
        <w:t>如法律法规或监管机构以后允许基金投资其他品种，基金管理人在履行适当程序后，可以将其纳入投资范围</w:t>
      </w:r>
      <w:r w:rsidR="001812B3" w:rsidRPr="001812B3">
        <w:rPr>
          <w:rFonts w:ascii="宋体" w:hAnsi="宋体" w:cs="Arial" w:hint="eastAsia"/>
          <w:bCs/>
          <w:sz w:val="24"/>
        </w:rPr>
        <w:t>。</w:t>
      </w:r>
    </w:p>
    <w:p w14:paraId="1E2CF8B4" w14:textId="6C697C37" w:rsidR="000B191F" w:rsidRDefault="00A72A3F">
      <w:pPr>
        <w:spacing w:line="360" w:lineRule="auto"/>
        <w:ind w:firstLineChars="200" w:firstLine="480"/>
        <w:rPr>
          <w:rFonts w:ascii="宋体" w:hAnsi="宋体" w:cs="Arial"/>
          <w:bCs/>
          <w:sz w:val="24"/>
        </w:rPr>
      </w:pPr>
      <w:r w:rsidRPr="00A72A3F">
        <w:rPr>
          <w:rFonts w:ascii="宋体" w:hAnsi="宋体" w:cs="Arial" w:hint="eastAsia"/>
          <w:bCs/>
          <w:sz w:val="24"/>
        </w:rPr>
        <w:t>本基金投资标的指数成份股及备选成份股的比例不低于基金资产净值的90%，且不低于非现金基金资产的80%，因法律法规的规定而受限制的情形除外。股指期货、股票期权和国债期货及其他金融工具的投资比例符合法律法规和监管机构的规定</w:t>
      </w:r>
      <w:r w:rsidR="000B191F" w:rsidRPr="000B191F">
        <w:rPr>
          <w:rFonts w:ascii="宋体" w:hAnsi="宋体" w:cs="Arial" w:hint="eastAsia"/>
          <w:bCs/>
          <w:sz w:val="24"/>
        </w:rPr>
        <w:t>。</w:t>
      </w:r>
    </w:p>
    <w:p w14:paraId="48424C2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三、投资策略</w:t>
      </w:r>
    </w:p>
    <w:p w14:paraId="5D1FC66E" w14:textId="77777777" w:rsidR="00301D44" w:rsidRPr="00301D44" w:rsidRDefault="00301D44" w:rsidP="00301D44">
      <w:pPr>
        <w:spacing w:line="360" w:lineRule="auto"/>
        <w:ind w:firstLineChars="200" w:firstLine="480"/>
        <w:rPr>
          <w:rFonts w:ascii="宋体" w:hAnsi="宋体" w:cs="Arial"/>
          <w:sz w:val="24"/>
        </w:rPr>
      </w:pPr>
      <w:r w:rsidRPr="00301D44">
        <w:rPr>
          <w:rFonts w:ascii="宋体" w:hAnsi="宋体" w:cs="Arial" w:hint="eastAsia"/>
          <w:sz w:val="24"/>
        </w:rPr>
        <w:t>1、股票投资策略</w:t>
      </w:r>
    </w:p>
    <w:p w14:paraId="2C6DA487" w14:textId="77777777" w:rsidR="00A72A3F" w:rsidRPr="00A72A3F" w:rsidRDefault="00A72A3F" w:rsidP="00A72A3F">
      <w:pPr>
        <w:spacing w:line="360" w:lineRule="auto"/>
        <w:ind w:firstLineChars="200" w:firstLine="480"/>
        <w:rPr>
          <w:rFonts w:ascii="宋体" w:hAnsi="宋体" w:cs="Arial"/>
          <w:sz w:val="24"/>
        </w:rPr>
      </w:pPr>
      <w:r w:rsidRPr="00A72A3F">
        <w:rPr>
          <w:rFonts w:ascii="宋体" w:hAnsi="宋体" w:cs="Arial" w:hint="eastAsia"/>
          <w:sz w:val="24"/>
        </w:rPr>
        <w:t>本基金主要采取完全复制法，即完全按照标的指数的成份</w:t>
      </w:r>
      <w:proofErr w:type="gramStart"/>
      <w:r w:rsidRPr="00A72A3F">
        <w:rPr>
          <w:rFonts w:ascii="宋体" w:hAnsi="宋体" w:cs="Arial" w:hint="eastAsia"/>
          <w:sz w:val="24"/>
        </w:rPr>
        <w:t>股组成</w:t>
      </w:r>
      <w:proofErr w:type="gramEnd"/>
      <w:r w:rsidRPr="00A72A3F">
        <w:rPr>
          <w:rFonts w:ascii="宋体" w:hAnsi="宋体" w:cs="Arial" w:hint="eastAsia"/>
          <w:sz w:val="24"/>
        </w:rPr>
        <w:t>及其权重构建基金股票投资组合，并根据标的指数成份股及其权重的变动进行相应调整。但因特殊情况（如流动性原因等）导致无法完全投资于标的指数成份股时，或者因为法律法规的限制无法投资某只股票时，基金管理人将采用其他指数投资</w:t>
      </w:r>
      <w:r w:rsidRPr="00A72A3F">
        <w:rPr>
          <w:rFonts w:ascii="宋体" w:hAnsi="宋体" w:cs="Arial" w:hint="eastAsia"/>
          <w:sz w:val="24"/>
        </w:rPr>
        <w:lastRenderedPageBreak/>
        <w:t>技术适当调整基金投资组合，以达到跟踪标的指数的目的。</w:t>
      </w:r>
    </w:p>
    <w:p w14:paraId="054D8DFD" w14:textId="77777777" w:rsidR="00A72A3F" w:rsidRPr="00A72A3F" w:rsidRDefault="00A72A3F" w:rsidP="00A72A3F">
      <w:pPr>
        <w:spacing w:line="360" w:lineRule="auto"/>
        <w:ind w:firstLineChars="200" w:firstLine="480"/>
        <w:rPr>
          <w:rFonts w:ascii="宋体" w:hAnsi="宋体" w:cs="Arial"/>
          <w:sz w:val="24"/>
        </w:rPr>
      </w:pPr>
      <w:r w:rsidRPr="00A72A3F">
        <w:rPr>
          <w:rFonts w:ascii="宋体" w:hAnsi="宋体" w:cs="Arial" w:hint="eastAsia"/>
          <w:sz w:val="24"/>
        </w:rPr>
        <w:t>如因标的指数编制规则调整或其他因素导致跟踪偏离度和跟踪误差超过投资目标所述范围的，基金管理人应采取合理措施避免跟踪误差进一步扩大。</w:t>
      </w:r>
    </w:p>
    <w:p w14:paraId="462F9F68" w14:textId="0B4CC634" w:rsidR="00301D44" w:rsidRPr="00301D44" w:rsidRDefault="00A72A3F" w:rsidP="00A72A3F">
      <w:pPr>
        <w:spacing w:line="360" w:lineRule="auto"/>
        <w:ind w:firstLineChars="200" w:firstLine="480"/>
        <w:rPr>
          <w:rFonts w:ascii="宋体" w:hAnsi="宋体" w:cs="Arial"/>
          <w:sz w:val="24"/>
        </w:rPr>
      </w:pPr>
      <w:r w:rsidRPr="00A72A3F">
        <w:rPr>
          <w:rFonts w:ascii="宋体" w:hAnsi="宋体" w:cs="Arial" w:hint="eastAsia"/>
          <w:sz w:val="24"/>
        </w:rPr>
        <w:t>本基金可通过内地与香港股票市场交易互联互通机制投资于香港股票市场，不使用合格境内机构投资者（QDII）境外投资额度进行境外投资</w:t>
      </w:r>
      <w:r w:rsidR="00301D44" w:rsidRPr="00301D44">
        <w:rPr>
          <w:rFonts w:ascii="宋体" w:hAnsi="宋体" w:cs="Arial" w:hint="eastAsia"/>
          <w:sz w:val="24"/>
        </w:rPr>
        <w:t>。</w:t>
      </w:r>
    </w:p>
    <w:p w14:paraId="2C034547" w14:textId="77777777" w:rsidR="00301D44" w:rsidRPr="00301D44" w:rsidRDefault="00301D44" w:rsidP="00301D44">
      <w:pPr>
        <w:spacing w:line="360" w:lineRule="auto"/>
        <w:ind w:firstLineChars="200" w:firstLine="480"/>
        <w:rPr>
          <w:rFonts w:ascii="宋体" w:hAnsi="宋体" w:cs="Arial"/>
          <w:sz w:val="24"/>
        </w:rPr>
      </w:pPr>
      <w:r w:rsidRPr="00301D44">
        <w:rPr>
          <w:rFonts w:ascii="宋体" w:hAnsi="宋体" w:cs="Arial" w:hint="eastAsia"/>
          <w:sz w:val="24"/>
        </w:rPr>
        <w:t>2、存托凭证投资策略</w:t>
      </w:r>
    </w:p>
    <w:p w14:paraId="15AF6C7D" w14:textId="77777777" w:rsidR="00A72A3F" w:rsidRPr="00A72A3F" w:rsidRDefault="00A72A3F" w:rsidP="00A72A3F">
      <w:pPr>
        <w:spacing w:line="360" w:lineRule="auto"/>
        <w:ind w:firstLineChars="200" w:firstLine="480"/>
        <w:rPr>
          <w:rFonts w:ascii="宋体" w:hAnsi="宋体" w:cs="Arial"/>
          <w:sz w:val="24"/>
        </w:rPr>
      </w:pPr>
      <w:r w:rsidRPr="00A72A3F">
        <w:rPr>
          <w:rFonts w:ascii="宋体" w:hAnsi="宋体" w:cs="Arial" w:hint="eastAsia"/>
          <w:sz w:val="24"/>
        </w:rPr>
        <w:t>本基金可投资存托凭证，本基金将结合对宏观经济状况、行业景气度、公司竞争优势、公司治理结构、估值水平等因素的分析判断，选择投资价值高的存托凭证进行投资。</w:t>
      </w:r>
    </w:p>
    <w:p w14:paraId="05E1AB0A" w14:textId="77777777" w:rsidR="00A72A3F" w:rsidRPr="00A72A3F" w:rsidRDefault="00A72A3F" w:rsidP="00A72A3F">
      <w:pPr>
        <w:spacing w:line="360" w:lineRule="auto"/>
        <w:ind w:firstLineChars="200" w:firstLine="480"/>
        <w:rPr>
          <w:rFonts w:ascii="宋体" w:hAnsi="宋体" w:cs="Arial"/>
          <w:sz w:val="24"/>
        </w:rPr>
      </w:pPr>
      <w:r w:rsidRPr="00A72A3F">
        <w:rPr>
          <w:rFonts w:ascii="宋体" w:hAnsi="宋体" w:cs="Arial" w:hint="eastAsia"/>
          <w:sz w:val="24"/>
        </w:rPr>
        <w:t>3、债券投资策略</w:t>
      </w:r>
    </w:p>
    <w:p w14:paraId="3D6B57E1" w14:textId="77777777" w:rsidR="00A72A3F" w:rsidRPr="00A72A3F" w:rsidRDefault="00A72A3F" w:rsidP="00A72A3F">
      <w:pPr>
        <w:spacing w:line="360" w:lineRule="auto"/>
        <w:ind w:firstLineChars="200" w:firstLine="480"/>
        <w:rPr>
          <w:rFonts w:ascii="宋体" w:hAnsi="宋体" w:cs="Arial"/>
          <w:sz w:val="24"/>
        </w:rPr>
      </w:pPr>
      <w:r w:rsidRPr="00A72A3F">
        <w:rPr>
          <w:rFonts w:ascii="宋体" w:hAnsi="宋体" w:cs="Arial" w:hint="eastAsia"/>
          <w:sz w:val="24"/>
        </w:rPr>
        <w:t>（1）类属配置策略</w:t>
      </w:r>
    </w:p>
    <w:p w14:paraId="5A1723E2" w14:textId="77777777" w:rsidR="00A72A3F" w:rsidRPr="00A72A3F" w:rsidRDefault="00A72A3F" w:rsidP="00A72A3F">
      <w:pPr>
        <w:spacing w:line="360" w:lineRule="auto"/>
        <w:ind w:firstLineChars="200" w:firstLine="480"/>
        <w:rPr>
          <w:rFonts w:ascii="宋体" w:hAnsi="宋体" w:cs="Arial"/>
          <w:sz w:val="24"/>
        </w:rPr>
      </w:pPr>
      <w:r w:rsidRPr="00A72A3F">
        <w:rPr>
          <w:rFonts w:ascii="宋体" w:hAnsi="宋体" w:cs="Arial" w:hint="eastAsia"/>
          <w:sz w:val="24"/>
        </w:rPr>
        <w:t>类属配置是指对各市场及各种类的固定收益类金融工具之间的比例进行适时、动态的分配和调整，确定最能符合本基金风险收益特征的资产组合。投资的目的是在保证基金资产流动性的基础上，降低跟踪误差。本基金将采用宏观环境分析和微观市场定价分析两个方面进行债券资产的投资，通过主要采取</w:t>
      </w:r>
      <w:proofErr w:type="gramStart"/>
      <w:r w:rsidRPr="00A72A3F">
        <w:rPr>
          <w:rFonts w:ascii="宋体" w:hAnsi="宋体" w:cs="Arial" w:hint="eastAsia"/>
          <w:sz w:val="24"/>
        </w:rPr>
        <w:t>组合久期配置</w:t>
      </w:r>
      <w:proofErr w:type="gramEnd"/>
      <w:r w:rsidRPr="00A72A3F">
        <w:rPr>
          <w:rFonts w:ascii="宋体" w:hAnsi="宋体" w:cs="Arial" w:hint="eastAsia"/>
          <w:sz w:val="24"/>
        </w:rPr>
        <w:t>策略构建投资组合。</w:t>
      </w:r>
    </w:p>
    <w:p w14:paraId="44C88A70" w14:textId="77777777" w:rsidR="00A72A3F" w:rsidRPr="00A72A3F" w:rsidRDefault="00A72A3F" w:rsidP="00A72A3F">
      <w:pPr>
        <w:spacing w:line="360" w:lineRule="auto"/>
        <w:ind w:firstLineChars="200" w:firstLine="480"/>
        <w:rPr>
          <w:rFonts w:ascii="宋体" w:hAnsi="宋体" w:cs="Arial"/>
          <w:sz w:val="24"/>
        </w:rPr>
      </w:pPr>
      <w:r w:rsidRPr="00A72A3F">
        <w:rPr>
          <w:rFonts w:ascii="宋体" w:hAnsi="宋体" w:cs="Arial" w:hint="eastAsia"/>
          <w:sz w:val="24"/>
        </w:rPr>
        <w:t>（2）可转换债券与可交换公司债券投资策略</w:t>
      </w:r>
    </w:p>
    <w:p w14:paraId="490E103C" w14:textId="5C73D5C2" w:rsidR="00301D44" w:rsidRPr="00301D44" w:rsidRDefault="00A72A3F" w:rsidP="00A72A3F">
      <w:pPr>
        <w:spacing w:line="360" w:lineRule="auto"/>
        <w:ind w:firstLineChars="200" w:firstLine="480"/>
        <w:rPr>
          <w:rFonts w:ascii="宋体" w:hAnsi="宋体" w:cs="Arial"/>
          <w:sz w:val="24"/>
        </w:rPr>
      </w:pPr>
      <w:r w:rsidRPr="00A72A3F">
        <w:rPr>
          <w:rFonts w:ascii="宋体" w:hAnsi="宋体" w:cs="Arial" w:hint="eastAsia"/>
          <w:sz w:val="24"/>
        </w:rPr>
        <w:t>可转换债券与可交换公司债券投资方面，兼具权益类证券与固定收益类证券的特性。本基金一方面将对发债主体的信用基本面进行深入挖掘以明确该可转换债券/可交换公司债券</w:t>
      </w:r>
      <w:proofErr w:type="gramStart"/>
      <w:r w:rsidRPr="00A72A3F">
        <w:rPr>
          <w:rFonts w:ascii="宋体" w:hAnsi="宋体" w:cs="Arial" w:hint="eastAsia"/>
          <w:sz w:val="24"/>
        </w:rPr>
        <w:t>的债底保护</w:t>
      </w:r>
      <w:proofErr w:type="gramEnd"/>
      <w:r w:rsidRPr="00A72A3F">
        <w:rPr>
          <w:rFonts w:ascii="宋体" w:hAnsi="宋体" w:cs="Arial" w:hint="eastAsia"/>
          <w:sz w:val="24"/>
        </w:rPr>
        <w:t>，防范信用风险，另一方面，还会进一步分析标的公司的盈利和成长能力以确定可转换债券/可交换公司债券中长期的上涨空间。本基金将借鉴信用债的基本面研究，从行业基本面、公司的行业地位、竞争优势、财务稳健性、盈利能力、治理结构等方面进行考察，精选财务稳健、信用违约风险小的可转换债券/可交换公司债券进行投资。本基金将在定量分析与主动研究相结合的基础上，结合可转换债券/可交换公司债券定价模型、交易价格以及其转股价值，对可转换债券/可交换公司债券是否转</w:t>
      </w:r>
      <w:proofErr w:type="gramStart"/>
      <w:r w:rsidRPr="00A72A3F">
        <w:rPr>
          <w:rFonts w:ascii="宋体" w:hAnsi="宋体" w:cs="Arial" w:hint="eastAsia"/>
          <w:sz w:val="24"/>
        </w:rPr>
        <w:t>股制定</w:t>
      </w:r>
      <w:proofErr w:type="gramEnd"/>
      <w:r w:rsidRPr="00A72A3F">
        <w:rPr>
          <w:rFonts w:ascii="宋体" w:hAnsi="宋体" w:cs="Arial" w:hint="eastAsia"/>
          <w:sz w:val="24"/>
        </w:rPr>
        <w:t>投资策略以及选择合适的转换时机</w:t>
      </w:r>
      <w:r w:rsidR="00301D44" w:rsidRPr="00301D44">
        <w:rPr>
          <w:rFonts w:ascii="宋体" w:hAnsi="宋体" w:cs="Arial" w:hint="eastAsia"/>
          <w:sz w:val="24"/>
        </w:rPr>
        <w:t>。</w:t>
      </w:r>
    </w:p>
    <w:p w14:paraId="3B91974D" w14:textId="77777777" w:rsidR="00301D44" w:rsidRPr="00301D44" w:rsidRDefault="00301D44" w:rsidP="00301D44">
      <w:pPr>
        <w:spacing w:line="360" w:lineRule="auto"/>
        <w:ind w:firstLineChars="200" w:firstLine="480"/>
        <w:rPr>
          <w:rFonts w:ascii="宋体" w:hAnsi="宋体" w:cs="Arial"/>
          <w:sz w:val="24"/>
        </w:rPr>
      </w:pPr>
      <w:r w:rsidRPr="00301D44">
        <w:rPr>
          <w:rFonts w:ascii="宋体" w:hAnsi="宋体" w:cs="Arial" w:hint="eastAsia"/>
          <w:sz w:val="24"/>
        </w:rPr>
        <w:t>4、资产支持证券投资策略</w:t>
      </w:r>
    </w:p>
    <w:p w14:paraId="5B664614" w14:textId="68ABB89A" w:rsidR="00301D44" w:rsidRPr="00301D44" w:rsidRDefault="00A72A3F" w:rsidP="00301D44">
      <w:pPr>
        <w:spacing w:line="360" w:lineRule="auto"/>
        <w:ind w:firstLineChars="200" w:firstLine="480"/>
        <w:rPr>
          <w:rFonts w:ascii="宋体" w:hAnsi="宋体" w:cs="Arial"/>
          <w:sz w:val="24"/>
        </w:rPr>
      </w:pPr>
      <w:r w:rsidRPr="00A72A3F">
        <w:rPr>
          <w:rFonts w:ascii="宋体" w:hAnsi="宋体" w:cs="Arial" w:hint="eastAsia"/>
          <w:sz w:val="24"/>
        </w:rPr>
        <w:t>资产支持证券为本基金的辅助性投资工具，本基金将</w:t>
      </w:r>
      <w:proofErr w:type="gramStart"/>
      <w:r w:rsidRPr="00A72A3F">
        <w:rPr>
          <w:rFonts w:ascii="宋体" w:hAnsi="宋体" w:cs="Arial" w:hint="eastAsia"/>
          <w:sz w:val="24"/>
        </w:rPr>
        <w:t>采用久期配置</w:t>
      </w:r>
      <w:proofErr w:type="gramEnd"/>
      <w:r w:rsidRPr="00A72A3F">
        <w:rPr>
          <w:rFonts w:ascii="宋体" w:hAnsi="宋体" w:cs="Arial" w:hint="eastAsia"/>
          <w:sz w:val="24"/>
        </w:rPr>
        <w:t>策略与</w:t>
      </w:r>
      <w:r w:rsidRPr="00A72A3F">
        <w:rPr>
          <w:rFonts w:ascii="宋体" w:hAnsi="宋体" w:cs="Arial" w:hint="eastAsia"/>
          <w:sz w:val="24"/>
        </w:rPr>
        <w:lastRenderedPageBreak/>
        <w:t>期限结构配置策略，结合定量分析和定性分析的方法，综合分析资产支持证券的利率风险、提前偿付风险、流动性风险、税收溢价等因素，选择具有较高投资价值的资产支持证券进行配置</w:t>
      </w:r>
      <w:r w:rsidR="00301D44" w:rsidRPr="00301D44">
        <w:rPr>
          <w:rFonts w:ascii="宋体" w:hAnsi="宋体" w:cs="Arial" w:hint="eastAsia"/>
          <w:sz w:val="24"/>
        </w:rPr>
        <w:t>。</w:t>
      </w:r>
    </w:p>
    <w:p w14:paraId="7D9B56B0" w14:textId="77777777" w:rsidR="00301D44" w:rsidRPr="00301D44" w:rsidRDefault="00301D44" w:rsidP="00301D44">
      <w:pPr>
        <w:spacing w:line="360" w:lineRule="auto"/>
        <w:ind w:firstLineChars="200" w:firstLine="480"/>
        <w:rPr>
          <w:rFonts w:ascii="宋体" w:hAnsi="宋体" w:cs="Arial"/>
          <w:sz w:val="24"/>
        </w:rPr>
      </w:pPr>
      <w:r w:rsidRPr="00301D44">
        <w:rPr>
          <w:rFonts w:ascii="宋体" w:hAnsi="宋体" w:cs="Arial" w:hint="eastAsia"/>
          <w:sz w:val="24"/>
        </w:rPr>
        <w:t>5、衍生</w:t>
      </w:r>
      <w:proofErr w:type="gramStart"/>
      <w:r w:rsidRPr="00301D44">
        <w:rPr>
          <w:rFonts w:ascii="宋体" w:hAnsi="宋体" w:cs="Arial" w:hint="eastAsia"/>
          <w:sz w:val="24"/>
        </w:rPr>
        <w:t>品投资</w:t>
      </w:r>
      <w:proofErr w:type="gramEnd"/>
      <w:r w:rsidRPr="00301D44">
        <w:rPr>
          <w:rFonts w:ascii="宋体" w:hAnsi="宋体" w:cs="Arial" w:hint="eastAsia"/>
          <w:sz w:val="24"/>
        </w:rPr>
        <w:t>策略</w:t>
      </w:r>
    </w:p>
    <w:p w14:paraId="3282C391" w14:textId="77777777" w:rsidR="00A72A3F" w:rsidRPr="00A72A3F" w:rsidRDefault="00A72A3F" w:rsidP="00A72A3F">
      <w:pPr>
        <w:spacing w:line="360" w:lineRule="auto"/>
        <w:ind w:firstLineChars="200" w:firstLine="480"/>
        <w:rPr>
          <w:rFonts w:ascii="宋体" w:hAnsi="宋体" w:cs="Arial"/>
          <w:sz w:val="24"/>
        </w:rPr>
      </w:pPr>
      <w:r w:rsidRPr="00A72A3F">
        <w:rPr>
          <w:rFonts w:ascii="宋体" w:hAnsi="宋体" w:cs="Arial" w:hint="eastAsia"/>
          <w:sz w:val="24"/>
        </w:rPr>
        <w:t>为更好地实现投资目标，基金还可以投资于股指期货、股票期权、国债期货。</w:t>
      </w:r>
    </w:p>
    <w:p w14:paraId="5D9568AB" w14:textId="77777777" w:rsidR="00A72A3F" w:rsidRPr="00A72A3F" w:rsidRDefault="00A72A3F" w:rsidP="00A72A3F">
      <w:pPr>
        <w:spacing w:line="360" w:lineRule="auto"/>
        <w:ind w:firstLineChars="200" w:firstLine="480"/>
        <w:rPr>
          <w:rFonts w:ascii="宋体" w:hAnsi="宋体" w:cs="Arial"/>
          <w:sz w:val="24"/>
        </w:rPr>
      </w:pPr>
      <w:r w:rsidRPr="00A72A3F">
        <w:rPr>
          <w:rFonts w:ascii="宋体" w:hAnsi="宋体" w:cs="Arial" w:hint="eastAsia"/>
          <w:sz w:val="24"/>
        </w:rPr>
        <w:t>本基金将根据风险管理的原则，以套期保值为目的，参与股指期货的投资，以提高投资效率，控制基金投资组合风险水平，更好地实现本基金的投资目标。本基金管理人运用股指期货等金融衍生工具必须是出于追求基金充分投资、减少交易成本、降低跟踪误差的目的，不得应用于投机交易目的，或用作杠杆工具放大基金的投资。</w:t>
      </w:r>
    </w:p>
    <w:p w14:paraId="47DD3D8A" w14:textId="77777777" w:rsidR="00A72A3F" w:rsidRPr="00A72A3F" w:rsidRDefault="00A72A3F" w:rsidP="00A72A3F">
      <w:pPr>
        <w:spacing w:line="360" w:lineRule="auto"/>
        <w:ind w:firstLineChars="200" w:firstLine="480"/>
        <w:rPr>
          <w:rFonts w:ascii="宋体" w:hAnsi="宋体" w:cs="Arial"/>
          <w:sz w:val="24"/>
        </w:rPr>
      </w:pPr>
      <w:r w:rsidRPr="00A72A3F">
        <w:rPr>
          <w:rFonts w:ascii="宋体" w:hAnsi="宋体" w:cs="Arial" w:hint="eastAsia"/>
          <w:sz w:val="24"/>
        </w:rPr>
        <w:t>本基金投资股票期权，将根据风险管理的原则，以套期保值为主要目的，充分考虑股票期权的流动性和风险收益特征。</w:t>
      </w:r>
    </w:p>
    <w:p w14:paraId="5DD10946" w14:textId="0D8EB3AC" w:rsidR="00301D44" w:rsidRPr="00301D44" w:rsidRDefault="00A72A3F" w:rsidP="00A72A3F">
      <w:pPr>
        <w:spacing w:line="360" w:lineRule="auto"/>
        <w:ind w:firstLineChars="200" w:firstLine="480"/>
        <w:rPr>
          <w:rFonts w:ascii="宋体" w:hAnsi="宋体" w:cs="Arial"/>
          <w:sz w:val="24"/>
        </w:rPr>
      </w:pPr>
      <w:r w:rsidRPr="00A72A3F">
        <w:rPr>
          <w:rFonts w:ascii="宋体" w:hAnsi="宋体" w:cs="Arial" w:hint="eastAsia"/>
          <w:sz w:val="24"/>
        </w:rPr>
        <w:t>本基金参与国债期货交易，应当根据风险管理的原则，以套期保值为主要目的。基金管理人将充分考虑国债期货的流动性和风险收益特征，在风险可控的前提下，适度参与国债期货投资</w:t>
      </w:r>
      <w:r w:rsidR="00301D44" w:rsidRPr="00301D44">
        <w:rPr>
          <w:rFonts w:ascii="宋体" w:hAnsi="宋体" w:cs="Arial" w:hint="eastAsia"/>
          <w:sz w:val="24"/>
        </w:rPr>
        <w:t>。</w:t>
      </w:r>
    </w:p>
    <w:p w14:paraId="375D99F2" w14:textId="77777777" w:rsidR="00301D44" w:rsidRPr="00301D44" w:rsidRDefault="00301D44" w:rsidP="00301D44">
      <w:pPr>
        <w:spacing w:line="360" w:lineRule="auto"/>
        <w:ind w:firstLineChars="200" w:firstLine="480"/>
        <w:rPr>
          <w:rFonts w:ascii="宋体" w:hAnsi="宋体" w:cs="Arial"/>
          <w:sz w:val="24"/>
        </w:rPr>
      </w:pPr>
      <w:r w:rsidRPr="00301D44">
        <w:rPr>
          <w:rFonts w:ascii="宋体" w:hAnsi="宋体" w:cs="Arial" w:hint="eastAsia"/>
          <w:sz w:val="24"/>
        </w:rPr>
        <w:t>6、参与融资及转融通证券出借业务策略</w:t>
      </w:r>
    </w:p>
    <w:p w14:paraId="42EC00FB" w14:textId="77777777" w:rsidR="00A72A3F" w:rsidRPr="00A72A3F" w:rsidRDefault="00A72A3F" w:rsidP="00A72A3F">
      <w:pPr>
        <w:spacing w:line="360" w:lineRule="auto"/>
        <w:ind w:firstLineChars="200" w:firstLine="480"/>
        <w:rPr>
          <w:rFonts w:ascii="宋体" w:hAnsi="宋体" w:cs="Arial"/>
          <w:sz w:val="24"/>
        </w:rPr>
      </w:pPr>
      <w:r w:rsidRPr="00A72A3F">
        <w:rPr>
          <w:rFonts w:ascii="宋体" w:hAnsi="宋体" w:cs="Arial" w:hint="eastAsia"/>
          <w:sz w:val="24"/>
        </w:rPr>
        <w:t>为更好地实现投资目标，在加强风险防范并遵守审慎原则的前提下，本基金可根据投资管理的需要参与融资及转融通证券出借业务。本基金将在分析市场情况、投资者类型与结构、本基金</w:t>
      </w:r>
      <w:proofErr w:type="gramStart"/>
      <w:r w:rsidRPr="00A72A3F">
        <w:rPr>
          <w:rFonts w:ascii="宋体" w:hAnsi="宋体" w:cs="Arial" w:hint="eastAsia"/>
          <w:sz w:val="24"/>
        </w:rPr>
        <w:t>历史申赎数据</w:t>
      </w:r>
      <w:proofErr w:type="gramEnd"/>
      <w:r w:rsidRPr="00A72A3F">
        <w:rPr>
          <w:rFonts w:ascii="宋体" w:hAnsi="宋体" w:cs="Arial" w:hint="eastAsia"/>
          <w:sz w:val="24"/>
        </w:rPr>
        <w:t>、出借证券流动性情况等因素，合理确定出借证券的范围、期限和比例。</w:t>
      </w:r>
      <w:proofErr w:type="gramStart"/>
      <w:r w:rsidRPr="00A72A3F">
        <w:rPr>
          <w:rFonts w:ascii="宋体" w:hAnsi="宋体" w:cs="Arial" w:hint="eastAsia"/>
          <w:sz w:val="24"/>
        </w:rPr>
        <w:t>若相关</w:t>
      </w:r>
      <w:proofErr w:type="gramEnd"/>
      <w:r w:rsidRPr="00A72A3F">
        <w:rPr>
          <w:rFonts w:ascii="宋体" w:hAnsi="宋体" w:cs="Arial" w:hint="eastAsia"/>
          <w:sz w:val="24"/>
        </w:rPr>
        <w:t>融资及转融通业务的法律法规发生变化，本基金将从其最新规定。</w:t>
      </w:r>
    </w:p>
    <w:p w14:paraId="2964139A" w14:textId="72EE6CE8" w:rsidR="00C52815" w:rsidRDefault="00A72A3F" w:rsidP="00A72A3F">
      <w:pPr>
        <w:spacing w:line="360" w:lineRule="auto"/>
        <w:ind w:firstLineChars="200" w:firstLine="480"/>
        <w:rPr>
          <w:rFonts w:ascii="宋体" w:hAnsi="宋体" w:cs="Arial"/>
          <w:sz w:val="24"/>
        </w:rPr>
      </w:pPr>
      <w:r w:rsidRPr="00A72A3F">
        <w:rPr>
          <w:rFonts w:ascii="宋体" w:hAnsi="宋体" w:cs="Arial" w:hint="eastAsia"/>
          <w:sz w:val="24"/>
        </w:rPr>
        <w:t>7、随着证券市场投资工具的发展和丰富，基金管理人可在不改变投资目标的前提下，根据法律法规的有关规定，在履行适当程序</w:t>
      </w:r>
      <w:proofErr w:type="gramStart"/>
      <w:r w:rsidRPr="00A72A3F">
        <w:rPr>
          <w:rFonts w:ascii="宋体" w:hAnsi="宋体" w:cs="Arial" w:hint="eastAsia"/>
          <w:sz w:val="24"/>
        </w:rPr>
        <w:t>后相应</w:t>
      </w:r>
      <w:proofErr w:type="gramEnd"/>
      <w:r w:rsidRPr="00A72A3F">
        <w:rPr>
          <w:rFonts w:ascii="宋体" w:hAnsi="宋体" w:cs="Arial" w:hint="eastAsia"/>
          <w:sz w:val="24"/>
        </w:rPr>
        <w:t>调整或更新投资策略，并公告</w:t>
      </w:r>
      <w:r w:rsidR="005C44F4">
        <w:rPr>
          <w:rFonts w:ascii="宋体" w:hAnsi="宋体" w:cs="Arial" w:hint="eastAsia"/>
          <w:sz w:val="24"/>
        </w:rPr>
        <w:t>。</w:t>
      </w:r>
    </w:p>
    <w:p w14:paraId="7F50C5A5" w14:textId="68E45E64" w:rsidR="00C52815" w:rsidRDefault="005C44F4">
      <w:pPr>
        <w:spacing w:line="360" w:lineRule="auto"/>
        <w:ind w:firstLineChars="200" w:firstLine="480"/>
        <w:rPr>
          <w:rFonts w:ascii="宋体" w:hAnsi="宋体" w:cs="Arial"/>
          <w:bCs/>
          <w:sz w:val="24"/>
        </w:rPr>
      </w:pPr>
      <w:r>
        <w:rPr>
          <w:rFonts w:ascii="宋体" w:hAnsi="宋体" w:cs="Arial"/>
          <w:bCs/>
          <w:sz w:val="24"/>
        </w:rPr>
        <w:t>四、标的指数</w:t>
      </w:r>
    </w:p>
    <w:p w14:paraId="20199E91" w14:textId="4B3901DC" w:rsidR="001B630D" w:rsidRPr="001B630D" w:rsidRDefault="001B630D" w:rsidP="001B630D">
      <w:pPr>
        <w:spacing w:line="360" w:lineRule="auto"/>
        <w:ind w:firstLineChars="200" w:firstLine="480"/>
        <w:rPr>
          <w:rFonts w:ascii="宋体" w:hAnsi="宋体" w:cs="Arial"/>
          <w:bCs/>
          <w:sz w:val="24"/>
        </w:rPr>
      </w:pPr>
      <w:r>
        <w:rPr>
          <w:rFonts w:ascii="宋体" w:hAnsi="宋体" w:cs="Arial" w:hint="eastAsia"/>
          <w:bCs/>
          <w:sz w:val="24"/>
        </w:rPr>
        <w:t>本基金的标的指数为</w:t>
      </w:r>
      <w:proofErr w:type="gramStart"/>
      <w:r>
        <w:rPr>
          <w:rFonts w:ascii="宋体" w:hAnsi="宋体" w:cs="Arial" w:hint="eastAsia"/>
          <w:bCs/>
          <w:sz w:val="24"/>
        </w:rPr>
        <w:t>中证沪港</w:t>
      </w:r>
      <w:proofErr w:type="gramEnd"/>
      <w:r>
        <w:rPr>
          <w:rFonts w:ascii="宋体" w:hAnsi="宋体" w:cs="Arial" w:hint="eastAsia"/>
          <w:bCs/>
          <w:sz w:val="24"/>
        </w:rPr>
        <w:t>深</w:t>
      </w:r>
      <w:proofErr w:type="gramStart"/>
      <w:r>
        <w:rPr>
          <w:rFonts w:ascii="宋体" w:hAnsi="宋体" w:cs="Arial" w:hint="eastAsia"/>
          <w:bCs/>
          <w:sz w:val="24"/>
        </w:rPr>
        <w:t>云计算</w:t>
      </w:r>
      <w:proofErr w:type="gramEnd"/>
      <w:r>
        <w:rPr>
          <w:rFonts w:ascii="宋体" w:hAnsi="宋体" w:cs="Arial" w:hint="eastAsia"/>
          <w:bCs/>
          <w:sz w:val="24"/>
        </w:rPr>
        <w:t>产业指数</w:t>
      </w:r>
      <w:r w:rsidRPr="001B630D">
        <w:rPr>
          <w:rFonts w:ascii="宋体" w:hAnsi="宋体" w:cs="Arial" w:hint="eastAsia"/>
          <w:bCs/>
          <w:sz w:val="24"/>
        </w:rPr>
        <w:t>。</w:t>
      </w:r>
    </w:p>
    <w:p w14:paraId="11E4E95C" w14:textId="77777777" w:rsidR="001B630D" w:rsidRPr="001B630D" w:rsidRDefault="001B630D" w:rsidP="001B630D">
      <w:pPr>
        <w:spacing w:line="360" w:lineRule="auto"/>
        <w:ind w:firstLineChars="200" w:firstLine="480"/>
        <w:rPr>
          <w:rFonts w:ascii="宋体" w:hAnsi="宋体" w:cs="Arial"/>
          <w:bCs/>
          <w:sz w:val="24"/>
        </w:rPr>
      </w:pPr>
      <w:r w:rsidRPr="001B630D">
        <w:rPr>
          <w:rFonts w:ascii="宋体" w:hAnsi="宋体" w:cs="Arial" w:hint="eastAsia"/>
          <w:bCs/>
          <w:sz w:val="24"/>
        </w:rPr>
        <w:t>未来若出现标的指数不符合要求（因成份股价格波动等指数编制方法变动之外的因素致使标的指数不符合要求的情形除外）、指数编制机构退出等情形，</w:t>
      </w:r>
      <w:r w:rsidRPr="001B630D">
        <w:rPr>
          <w:rFonts w:ascii="宋体" w:hAnsi="宋体" w:cs="Arial" w:hint="eastAsia"/>
          <w:bCs/>
          <w:sz w:val="24"/>
        </w:rPr>
        <w:lastRenderedPageBreak/>
        <w:t>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本基金合同终止。</w:t>
      </w:r>
    </w:p>
    <w:p w14:paraId="15D9293E" w14:textId="77777777" w:rsidR="001B630D" w:rsidRPr="001B630D" w:rsidRDefault="001B630D" w:rsidP="001B630D">
      <w:pPr>
        <w:spacing w:line="360" w:lineRule="auto"/>
        <w:ind w:firstLineChars="200" w:firstLine="480"/>
        <w:rPr>
          <w:rFonts w:ascii="宋体" w:hAnsi="宋体" w:cs="Arial"/>
          <w:bCs/>
          <w:sz w:val="24"/>
        </w:rPr>
      </w:pPr>
      <w:proofErr w:type="gramStart"/>
      <w:r w:rsidRPr="001B630D">
        <w:rPr>
          <w:rFonts w:ascii="宋体" w:hAnsi="宋体" w:cs="Arial" w:hint="eastAsia"/>
          <w:bCs/>
          <w:sz w:val="24"/>
        </w:rPr>
        <w:t>自指数</w:t>
      </w:r>
      <w:proofErr w:type="gramEnd"/>
      <w:r w:rsidRPr="001B630D">
        <w:rPr>
          <w:rFonts w:ascii="宋体" w:hAnsi="宋体" w:cs="Arial" w:hint="eastAsia"/>
          <w:bCs/>
          <w:sz w:val="24"/>
        </w:rPr>
        <w:t>编制机构停止标的指数的编制及发布</w:t>
      </w:r>
      <w:proofErr w:type="gramStart"/>
      <w:r w:rsidRPr="001B630D">
        <w:rPr>
          <w:rFonts w:ascii="宋体" w:hAnsi="宋体" w:cs="Arial" w:hint="eastAsia"/>
          <w:bCs/>
          <w:sz w:val="24"/>
        </w:rPr>
        <w:t>至解决</w:t>
      </w:r>
      <w:proofErr w:type="gramEnd"/>
      <w:r w:rsidRPr="001B630D">
        <w:rPr>
          <w:rFonts w:ascii="宋体" w:hAnsi="宋体" w:cs="Arial" w:hint="eastAsia"/>
          <w:bCs/>
          <w:sz w:val="24"/>
        </w:rPr>
        <w:t>方案确定期间，基金管理人应按照指数编制机构提供的最近一个交易日的指数信息遵循基金份额持有人利益优先原则维持基金投资运作。</w:t>
      </w:r>
    </w:p>
    <w:p w14:paraId="470FF98D" w14:textId="77777777" w:rsidR="001B630D" w:rsidRPr="001B630D" w:rsidRDefault="001B630D" w:rsidP="001B630D">
      <w:pPr>
        <w:spacing w:line="360" w:lineRule="auto"/>
        <w:ind w:firstLineChars="200" w:firstLine="480"/>
        <w:rPr>
          <w:rFonts w:ascii="宋体" w:hAnsi="宋体" w:cs="Arial"/>
          <w:bCs/>
          <w:sz w:val="24"/>
        </w:rPr>
      </w:pPr>
      <w:r w:rsidRPr="001B630D">
        <w:rPr>
          <w:rFonts w:ascii="宋体" w:hAnsi="宋体" w:cs="Arial" w:hint="eastAsia"/>
          <w:bCs/>
          <w:sz w:val="24"/>
        </w:rPr>
        <w:t>尽管有前述约定，但若出现指数更名等对基金投资及基金份额持有人无实质性影响的标的指数变更情形，则无需召开基金份额持有人大会，基金管理人与基金托管人协商一致后变更并在规定媒介上公告。</w:t>
      </w:r>
    </w:p>
    <w:p w14:paraId="4AE581BF" w14:textId="7B3DBBF6" w:rsidR="001B630D" w:rsidRPr="001B630D" w:rsidRDefault="001B630D" w:rsidP="001B630D">
      <w:pPr>
        <w:spacing w:line="360" w:lineRule="auto"/>
        <w:ind w:firstLineChars="200" w:firstLine="480"/>
        <w:rPr>
          <w:rFonts w:ascii="宋体" w:hAnsi="宋体" w:cs="Arial"/>
          <w:bCs/>
          <w:sz w:val="24"/>
        </w:rPr>
      </w:pPr>
      <w:r>
        <w:rPr>
          <w:rFonts w:ascii="宋体" w:hAnsi="宋体" w:cs="Arial" w:hint="eastAsia"/>
          <w:bCs/>
          <w:sz w:val="24"/>
        </w:rPr>
        <w:t>五</w:t>
      </w:r>
      <w:r w:rsidRPr="001B630D">
        <w:rPr>
          <w:rFonts w:ascii="宋体" w:hAnsi="宋体" w:cs="Arial" w:hint="eastAsia"/>
          <w:bCs/>
          <w:sz w:val="24"/>
        </w:rPr>
        <w:t>、业绩比较基准</w:t>
      </w:r>
    </w:p>
    <w:p w14:paraId="61AF48F6" w14:textId="7A614FC8" w:rsidR="001B630D" w:rsidRPr="001B630D" w:rsidRDefault="007144E2" w:rsidP="001B630D">
      <w:pPr>
        <w:spacing w:line="360" w:lineRule="auto"/>
        <w:ind w:firstLineChars="200" w:firstLine="480"/>
        <w:rPr>
          <w:rFonts w:ascii="宋体" w:hAnsi="宋体" w:cs="Arial"/>
          <w:bCs/>
          <w:sz w:val="24"/>
        </w:rPr>
      </w:pPr>
      <w:r>
        <w:rPr>
          <w:rFonts w:ascii="宋体" w:hAnsi="宋体" w:cs="Arial" w:hint="eastAsia"/>
          <w:bCs/>
          <w:sz w:val="24"/>
        </w:rPr>
        <w:t>本基金业绩比较基准</w:t>
      </w:r>
      <w:r w:rsidR="00ED3844" w:rsidRPr="00ED3844">
        <w:rPr>
          <w:rFonts w:ascii="宋体" w:hAnsi="宋体" w:cs="Arial" w:hint="eastAsia"/>
          <w:bCs/>
          <w:sz w:val="24"/>
        </w:rPr>
        <w:t>为标的指数收益率，即</w:t>
      </w:r>
      <w:proofErr w:type="gramStart"/>
      <w:r w:rsidR="001B630D">
        <w:rPr>
          <w:rFonts w:ascii="宋体" w:hAnsi="宋体" w:cs="Arial" w:hint="eastAsia"/>
          <w:bCs/>
          <w:sz w:val="24"/>
        </w:rPr>
        <w:t>中证沪港</w:t>
      </w:r>
      <w:proofErr w:type="gramEnd"/>
      <w:r w:rsidR="001B630D">
        <w:rPr>
          <w:rFonts w:ascii="宋体" w:hAnsi="宋体" w:cs="Arial" w:hint="eastAsia"/>
          <w:bCs/>
          <w:sz w:val="24"/>
        </w:rPr>
        <w:t>深</w:t>
      </w:r>
      <w:proofErr w:type="gramStart"/>
      <w:r w:rsidR="001B630D">
        <w:rPr>
          <w:rFonts w:ascii="宋体" w:hAnsi="宋体" w:cs="Arial" w:hint="eastAsia"/>
          <w:bCs/>
          <w:sz w:val="24"/>
        </w:rPr>
        <w:t>云计算</w:t>
      </w:r>
      <w:proofErr w:type="gramEnd"/>
      <w:r w:rsidR="001B630D">
        <w:rPr>
          <w:rFonts w:ascii="宋体" w:hAnsi="宋体" w:cs="Arial" w:hint="eastAsia"/>
          <w:bCs/>
          <w:sz w:val="24"/>
        </w:rPr>
        <w:t>产业</w:t>
      </w:r>
      <w:r w:rsidR="001B630D" w:rsidRPr="001B630D">
        <w:rPr>
          <w:rFonts w:ascii="宋体" w:hAnsi="宋体" w:cs="Arial" w:hint="eastAsia"/>
          <w:bCs/>
          <w:sz w:val="24"/>
        </w:rPr>
        <w:t>指数</w:t>
      </w:r>
      <w:r w:rsidR="001B630D">
        <w:rPr>
          <w:rFonts w:ascii="宋体" w:hAnsi="宋体" w:cs="Arial" w:hint="eastAsia"/>
          <w:bCs/>
          <w:sz w:val="24"/>
        </w:rPr>
        <w:t>（人民币）</w:t>
      </w:r>
      <w:r w:rsidR="001B630D" w:rsidRPr="001B630D">
        <w:rPr>
          <w:rFonts w:ascii="宋体" w:hAnsi="宋体" w:cs="Arial" w:hint="eastAsia"/>
          <w:bCs/>
          <w:sz w:val="24"/>
        </w:rPr>
        <w:t>收益率。</w:t>
      </w:r>
    </w:p>
    <w:p w14:paraId="1C8EF7A3" w14:textId="77777777" w:rsidR="001B630D" w:rsidRPr="001B630D" w:rsidRDefault="001B630D" w:rsidP="001B630D">
      <w:pPr>
        <w:spacing w:line="360" w:lineRule="auto"/>
        <w:ind w:firstLineChars="200" w:firstLine="480"/>
        <w:rPr>
          <w:rFonts w:ascii="宋体" w:hAnsi="宋体" w:cs="Arial"/>
          <w:bCs/>
          <w:sz w:val="24"/>
        </w:rPr>
      </w:pPr>
      <w:r w:rsidRPr="001B630D">
        <w:rPr>
          <w:rFonts w:ascii="宋体" w:hAnsi="宋体" w:cs="Arial" w:hint="eastAsia"/>
          <w:bCs/>
          <w:sz w:val="24"/>
        </w:rPr>
        <w:t>1、业绩比较基准的设定原因</w:t>
      </w:r>
    </w:p>
    <w:p w14:paraId="20C894A3" w14:textId="6D65B89F" w:rsidR="001B630D" w:rsidRPr="001B630D" w:rsidRDefault="001B630D" w:rsidP="001B630D">
      <w:pPr>
        <w:spacing w:line="360" w:lineRule="auto"/>
        <w:ind w:firstLineChars="200" w:firstLine="480"/>
        <w:rPr>
          <w:rFonts w:ascii="宋体" w:hAnsi="宋体" w:cs="Arial"/>
          <w:bCs/>
          <w:sz w:val="24"/>
        </w:rPr>
      </w:pPr>
      <w:r w:rsidRPr="001B630D">
        <w:rPr>
          <w:rFonts w:ascii="宋体" w:hAnsi="宋体" w:cs="Arial" w:hint="eastAsia"/>
          <w:bCs/>
          <w:sz w:val="24"/>
        </w:rPr>
        <w:t>本基金紧密跟踪标的指数，追求跟踪偏离度和跟踪误差的最小化。本基金的标的指数为</w:t>
      </w:r>
      <w:proofErr w:type="gramStart"/>
      <w:r w:rsidR="007144E2">
        <w:rPr>
          <w:rFonts w:ascii="宋体" w:hAnsi="宋体" w:cs="Arial" w:hint="eastAsia"/>
          <w:bCs/>
          <w:sz w:val="24"/>
        </w:rPr>
        <w:t>中证沪港</w:t>
      </w:r>
      <w:proofErr w:type="gramEnd"/>
      <w:r w:rsidR="007144E2">
        <w:rPr>
          <w:rFonts w:ascii="宋体" w:hAnsi="宋体" w:cs="Arial" w:hint="eastAsia"/>
          <w:bCs/>
          <w:sz w:val="24"/>
        </w:rPr>
        <w:t>深</w:t>
      </w:r>
      <w:proofErr w:type="gramStart"/>
      <w:r w:rsidR="007144E2">
        <w:rPr>
          <w:rFonts w:ascii="宋体" w:hAnsi="宋体" w:cs="Arial" w:hint="eastAsia"/>
          <w:bCs/>
          <w:sz w:val="24"/>
        </w:rPr>
        <w:t>云计算</w:t>
      </w:r>
      <w:proofErr w:type="gramEnd"/>
      <w:r w:rsidR="007144E2">
        <w:rPr>
          <w:rFonts w:ascii="宋体" w:hAnsi="宋体" w:cs="Arial" w:hint="eastAsia"/>
          <w:bCs/>
          <w:sz w:val="24"/>
        </w:rPr>
        <w:t>产业</w:t>
      </w:r>
      <w:r w:rsidRPr="001B630D">
        <w:rPr>
          <w:rFonts w:ascii="宋体" w:hAnsi="宋体" w:cs="Arial" w:hint="eastAsia"/>
          <w:bCs/>
          <w:sz w:val="24"/>
        </w:rPr>
        <w:t>指数，相应选取</w:t>
      </w:r>
      <w:proofErr w:type="gramStart"/>
      <w:r w:rsidR="007144E2">
        <w:rPr>
          <w:rFonts w:ascii="宋体" w:hAnsi="宋体" w:cs="Arial" w:hint="eastAsia"/>
          <w:bCs/>
          <w:sz w:val="24"/>
        </w:rPr>
        <w:t>中证沪港</w:t>
      </w:r>
      <w:proofErr w:type="gramEnd"/>
      <w:r w:rsidR="007144E2">
        <w:rPr>
          <w:rFonts w:ascii="宋体" w:hAnsi="宋体" w:cs="Arial" w:hint="eastAsia"/>
          <w:bCs/>
          <w:sz w:val="24"/>
        </w:rPr>
        <w:t>深</w:t>
      </w:r>
      <w:proofErr w:type="gramStart"/>
      <w:r w:rsidR="007144E2">
        <w:rPr>
          <w:rFonts w:ascii="宋体" w:hAnsi="宋体" w:cs="Arial" w:hint="eastAsia"/>
          <w:bCs/>
          <w:sz w:val="24"/>
        </w:rPr>
        <w:t>云计算</w:t>
      </w:r>
      <w:proofErr w:type="gramEnd"/>
      <w:r w:rsidR="007144E2">
        <w:rPr>
          <w:rFonts w:ascii="宋体" w:hAnsi="宋体" w:cs="Arial" w:hint="eastAsia"/>
          <w:bCs/>
          <w:sz w:val="24"/>
        </w:rPr>
        <w:t>产业</w:t>
      </w:r>
      <w:r w:rsidRPr="001B630D">
        <w:rPr>
          <w:rFonts w:ascii="宋体" w:hAnsi="宋体" w:cs="Arial" w:hint="eastAsia"/>
          <w:bCs/>
          <w:sz w:val="24"/>
        </w:rPr>
        <w:t>指数作为基准要素。</w:t>
      </w:r>
    </w:p>
    <w:p w14:paraId="33BEDBC4" w14:textId="2B47AAD4" w:rsidR="001B630D" w:rsidRPr="001B630D" w:rsidRDefault="001B630D" w:rsidP="001B630D">
      <w:pPr>
        <w:spacing w:line="360" w:lineRule="auto"/>
        <w:ind w:firstLineChars="200" w:firstLine="480"/>
        <w:rPr>
          <w:rFonts w:ascii="宋体" w:hAnsi="宋体" w:cs="Arial"/>
          <w:bCs/>
          <w:sz w:val="24"/>
        </w:rPr>
      </w:pPr>
      <w:r w:rsidRPr="001B630D">
        <w:rPr>
          <w:rFonts w:ascii="宋体" w:hAnsi="宋体" w:cs="Arial" w:hint="eastAsia"/>
          <w:bCs/>
          <w:sz w:val="24"/>
        </w:rPr>
        <w:t>综上，本基金选取的业绩比较基准与基金投资目标、投资范围、投资策略、投资比例限制相匹配。</w:t>
      </w:r>
    </w:p>
    <w:p w14:paraId="1DDCA77B" w14:textId="77777777" w:rsidR="00DC7167" w:rsidRDefault="001B630D" w:rsidP="001B630D">
      <w:pPr>
        <w:spacing w:line="360" w:lineRule="auto"/>
        <w:ind w:firstLineChars="200" w:firstLine="480"/>
        <w:rPr>
          <w:rFonts w:ascii="宋体" w:hAnsi="宋体" w:cs="Arial"/>
          <w:bCs/>
          <w:sz w:val="24"/>
        </w:rPr>
      </w:pPr>
      <w:r w:rsidRPr="001B630D">
        <w:rPr>
          <w:rFonts w:ascii="宋体" w:hAnsi="宋体" w:cs="Arial" w:hint="eastAsia"/>
          <w:bCs/>
          <w:sz w:val="24"/>
        </w:rPr>
        <w:t>2、</w:t>
      </w:r>
      <w:r w:rsidR="00DC7167" w:rsidRPr="00DC7167">
        <w:rPr>
          <w:rFonts w:ascii="宋体" w:hAnsi="宋体" w:cs="Arial" w:hint="eastAsia"/>
          <w:bCs/>
          <w:sz w:val="24"/>
        </w:rPr>
        <w:t>业绩比较基准要素的基本信息</w:t>
      </w:r>
    </w:p>
    <w:p w14:paraId="3C01C6D8" w14:textId="0310280A" w:rsidR="001B630D" w:rsidRPr="001B630D" w:rsidRDefault="001B630D" w:rsidP="001B630D">
      <w:pPr>
        <w:spacing w:line="360" w:lineRule="auto"/>
        <w:ind w:firstLineChars="200" w:firstLine="480"/>
        <w:rPr>
          <w:rFonts w:ascii="宋体" w:hAnsi="宋体" w:cs="Arial"/>
          <w:bCs/>
          <w:sz w:val="24"/>
        </w:rPr>
      </w:pPr>
      <w:r w:rsidRPr="001B630D">
        <w:rPr>
          <w:rFonts w:ascii="宋体" w:hAnsi="宋体" w:cs="Arial" w:hint="eastAsia"/>
          <w:bCs/>
          <w:sz w:val="24"/>
        </w:rPr>
        <w:t>业绩比较基准要素所涉及的发布机构、代码、查询途径等信息详见本基金招募说明书及其更新。</w:t>
      </w:r>
    </w:p>
    <w:p w14:paraId="45544B0A" w14:textId="77777777" w:rsidR="00DC7167" w:rsidRDefault="001B630D" w:rsidP="001B630D">
      <w:pPr>
        <w:spacing w:line="360" w:lineRule="auto"/>
        <w:ind w:firstLineChars="200" w:firstLine="480"/>
        <w:rPr>
          <w:rFonts w:ascii="宋体" w:hAnsi="宋体" w:cs="Arial"/>
          <w:bCs/>
          <w:sz w:val="24"/>
        </w:rPr>
      </w:pPr>
      <w:r w:rsidRPr="001B630D">
        <w:rPr>
          <w:rFonts w:ascii="宋体" w:hAnsi="宋体" w:cs="Arial" w:hint="eastAsia"/>
          <w:bCs/>
          <w:sz w:val="24"/>
        </w:rPr>
        <w:t>3、</w:t>
      </w:r>
      <w:r w:rsidR="00DC7167" w:rsidRPr="00DC7167">
        <w:rPr>
          <w:rFonts w:ascii="宋体" w:hAnsi="宋体" w:cs="Arial" w:hint="eastAsia"/>
          <w:bCs/>
          <w:sz w:val="24"/>
        </w:rPr>
        <w:t>业绩比较基准的计算方法</w:t>
      </w:r>
    </w:p>
    <w:p w14:paraId="2B3621BD" w14:textId="1D02B8F6" w:rsidR="001B630D" w:rsidRDefault="001A559D" w:rsidP="001B630D">
      <w:pPr>
        <w:spacing w:line="360" w:lineRule="auto"/>
        <w:ind w:firstLineChars="200" w:firstLine="480"/>
        <w:rPr>
          <w:rFonts w:ascii="宋体" w:hAnsi="宋体" w:cs="Arial"/>
          <w:bCs/>
          <w:sz w:val="24"/>
        </w:rPr>
      </w:pPr>
      <w:r w:rsidRPr="001A559D">
        <w:rPr>
          <w:rFonts w:ascii="宋体" w:hAnsi="宋体" w:cs="Arial" w:hint="eastAsia"/>
          <w:bCs/>
          <w:sz w:val="24"/>
        </w:rPr>
        <w:t>本基金业绩比较基准收益率的计算方法以每日收益率为基础，以时间加权为计算原则</w:t>
      </w:r>
      <w:r w:rsidR="001B630D" w:rsidRPr="001B630D">
        <w:rPr>
          <w:rFonts w:ascii="宋体" w:hAnsi="宋体" w:cs="Arial" w:hint="eastAsia"/>
          <w:bCs/>
          <w:sz w:val="24"/>
        </w:rPr>
        <w:t>。</w:t>
      </w:r>
    </w:p>
    <w:p w14:paraId="0C7E7762" w14:textId="27ACF25E" w:rsidR="006B0298" w:rsidRPr="006B0298" w:rsidRDefault="006B0298" w:rsidP="001B630D">
      <w:pPr>
        <w:spacing w:line="360" w:lineRule="auto"/>
        <w:ind w:firstLineChars="200" w:firstLine="480"/>
        <w:rPr>
          <w:rFonts w:ascii="宋体" w:hAnsi="宋体" w:cs="Arial"/>
          <w:bCs/>
          <w:sz w:val="24"/>
        </w:rPr>
      </w:pPr>
      <w:r w:rsidRPr="006B0298">
        <w:rPr>
          <w:rFonts w:ascii="宋体" w:hAnsi="宋体" w:cs="Arial" w:hint="eastAsia"/>
          <w:bCs/>
          <w:sz w:val="24"/>
        </w:rPr>
        <w:t>法律法规、监管机关、登记机构、证券交易所另有规定的，从其规定。</w:t>
      </w:r>
    </w:p>
    <w:p w14:paraId="56B91E42" w14:textId="2EDCCEB6" w:rsidR="001B630D" w:rsidRPr="001B630D" w:rsidRDefault="001B630D" w:rsidP="001B630D">
      <w:pPr>
        <w:spacing w:line="360" w:lineRule="auto"/>
        <w:ind w:firstLineChars="200" w:firstLine="480"/>
        <w:rPr>
          <w:rFonts w:ascii="宋体" w:hAnsi="宋体" w:cs="Arial"/>
          <w:bCs/>
          <w:sz w:val="24"/>
        </w:rPr>
      </w:pPr>
      <w:r w:rsidRPr="001B630D">
        <w:rPr>
          <w:rFonts w:ascii="宋体" w:hAnsi="宋体" w:cs="Arial" w:hint="eastAsia"/>
          <w:bCs/>
          <w:sz w:val="24"/>
        </w:rPr>
        <w:t>4、</w:t>
      </w:r>
      <w:r w:rsidR="00A1296F" w:rsidRPr="00A1296F">
        <w:rPr>
          <w:rFonts w:ascii="宋体" w:hAnsi="宋体" w:cs="Arial" w:hint="eastAsia"/>
          <w:bCs/>
          <w:sz w:val="24"/>
        </w:rPr>
        <w:t>基金管理人管理投资偏离业绩比较基准的定性或定量方法</w:t>
      </w:r>
    </w:p>
    <w:p w14:paraId="6CA0459D" w14:textId="291CC53C" w:rsidR="00A1296F" w:rsidRDefault="00A1296F" w:rsidP="001B630D">
      <w:pPr>
        <w:spacing w:line="360" w:lineRule="auto"/>
        <w:ind w:firstLineChars="200" w:firstLine="480"/>
        <w:rPr>
          <w:rFonts w:ascii="宋体" w:hAnsi="宋体" w:cs="Arial"/>
          <w:bCs/>
          <w:sz w:val="24"/>
        </w:rPr>
      </w:pPr>
      <w:r w:rsidRPr="00A1296F">
        <w:rPr>
          <w:rFonts w:ascii="宋体" w:hAnsi="宋体" w:cs="Arial" w:hint="eastAsia"/>
          <w:bCs/>
          <w:sz w:val="24"/>
        </w:rPr>
        <w:t>本基金主要采用完全复制法，即按照标的指数成份股及其权重构建基金的股票投资组合，并根据标的指数成份股及其权重的变动对股票投资组合进行相</w:t>
      </w:r>
      <w:r w:rsidRPr="00A1296F">
        <w:rPr>
          <w:rFonts w:ascii="宋体" w:hAnsi="宋体" w:cs="Arial" w:hint="eastAsia"/>
          <w:bCs/>
          <w:sz w:val="24"/>
        </w:rPr>
        <w:lastRenderedPageBreak/>
        <w:t>应地调整。在因特殊情形导致基金无法完全投资于标的指数成份股时，本基金可采取包括成份股替代策略在内的其他指数投资技术适当调整基金投资组合，以达到紧密跟踪标的指数的目的。本基金力争将日均跟踪偏离度的绝对值控制在0.</w:t>
      </w:r>
      <w:r>
        <w:rPr>
          <w:rFonts w:ascii="宋体" w:hAnsi="宋体" w:cs="Arial"/>
          <w:bCs/>
          <w:sz w:val="24"/>
        </w:rPr>
        <w:t>35</w:t>
      </w:r>
      <w:r w:rsidRPr="00A1296F">
        <w:rPr>
          <w:rFonts w:ascii="宋体" w:hAnsi="宋体" w:cs="Arial" w:hint="eastAsia"/>
          <w:bCs/>
          <w:sz w:val="24"/>
        </w:rPr>
        <w:t>%以内，</w:t>
      </w:r>
      <w:proofErr w:type="gramStart"/>
      <w:r w:rsidRPr="00A1296F">
        <w:rPr>
          <w:rFonts w:ascii="宋体" w:hAnsi="宋体" w:cs="Arial" w:hint="eastAsia"/>
          <w:bCs/>
          <w:sz w:val="24"/>
        </w:rPr>
        <w:t>年化跟踪误差</w:t>
      </w:r>
      <w:proofErr w:type="gramEnd"/>
      <w:r w:rsidRPr="00A1296F">
        <w:rPr>
          <w:rFonts w:ascii="宋体" w:hAnsi="宋体" w:cs="Arial" w:hint="eastAsia"/>
          <w:bCs/>
          <w:sz w:val="24"/>
        </w:rPr>
        <w:t>控制在</w:t>
      </w:r>
      <w:r>
        <w:rPr>
          <w:rFonts w:ascii="宋体" w:hAnsi="宋体" w:cs="Arial"/>
          <w:bCs/>
          <w:sz w:val="24"/>
        </w:rPr>
        <w:t>4</w:t>
      </w:r>
      <w:r w:rsidRPr="00A1296F">
        <w:rPr>
          <w:rFonts w:ascii="宋体" w:hAnsi="宋体" w:cs="Arial" w:hint="eastAsia"/>
          <w:bCs/>
          <w:sz w:val="24"/>
        </w:rPr>
        <w:t>%以内。如因标的指数编制规则调整或其他因素导致跟踪误差超过上述范围的，本基金将采取合理措施避免跟踪误差过大。</w:t>
      </w:r>
    </w:p>
    <w:p w14:paraId="76000CAF" w14:textId="4A6813D1" w:rsidR="001B630D" w:rsidRPr="001B630D" w:rsidRDefault="001B630D" w:rsidP="001B630D">
      <w:pPr>
        <w:spacing w:line="360" w:lineRule="auto"/>
        <w:ind w:firstLineChars="200" w:firstLine="480"/>
        <w:rPr>
          <w:rFonts w:ascii="宋体" w:hAnsi="宋体" w:cs="Arial"/>
          <w:bCs/>
          <w:sz w:val="24"/>
        </w:rPr>
      </w:pPr>
      <w:r w:rsidRPr="001B630D">
        <w:rPr>
          <w:rFonts w:ascii="宋体" w:hAnsi="宋体" w:cs="Arial" w:hint="eastAsia"/>
          <w:bCs/>
          <w:sz w:val="24"/>
        </w:rPr>
        <w:t>5、</w:t>
      </w:r>
      <w:r w:rsidR="007144E2" w:rsidRPr="007144E2">
        <w:rPr>
          <w:rFonts w:ascii="宋体" w:hAnsi="宋体" w:cs="Arial" w:hint="eastAsia"/>
          <w:bCs/>
          <w:sz w:val="24"/>
        </w:rPr>
        <w:t>未来可能变更业绩比较基准的情况和程序</w:t>
      </w:r>
    </w:p>
    <w:p w14:paraId="006D183D" w14:textId="40F97D3B" w:rsidR="00ED3844" w:rsidRDefault="001B630D" w:rsidP="001B630D">
      <w:pPr>
        <w:spacing w:line="360" w:lineRule="auto"/>
        <w:ind w:firstLineChars="200" w:firstLine="480"/>
        <w:rPr>
          <w:rFonts w:ascii="宋体" w:hAnsi="宋体" w:cs="Arial"/>
          <w:bCs/>
          <w:sz w:val="24"/>
        </w:rPr>
      </w:pPr>
      <w:r w:rsidRPr="001B630D">
        <w:rPr>
          <w:rFonts w:ascii="宋体" w:hAnsi="宋体" w:cs="Arial" w:hint="eastAsia"/>
          <w:bCs/>
          <w:sz w:val="24"/>
        </w:rPr>
        <w:t>本基金的业绩比较基准的要素与标的指数一致，相关变更情形和程序详见本章</w:t>
      </w:r>
      <w:r w:rsidR="00ED3844" w:rsidRPr="00ED3844">
        <w:rPr>
          <w:rFonts w:ascii="宋体" w:hAnsi="宋体" w:cs="Arial" w:hint="eastAsia"/>
          <w:bCs/>
          <w:sz w:val="24"/>
        </w:rPr>
        <w:t>“</w:t>
      </w:r>
      <w:r w:rsidR="00ED3844">
        <w:rPr>
          <w:rFonts w:ascii="宋体" w:hAnsi="宋体" w:cs="Arial" w:hint="eastAsia"/>
          <w:bCs/>
          <w:sz w:val="24"/>
        </w:rPr>
        <w:t>四、</w:t>
      </w:r>
      <w:r w:rsidR="00ED3844" w:rsidRPr="00ED3844">
        <w:rPr>
          <w:rFonts w:ascii="宋体" w:hAnsi="宋体" w:cs="Arial" w:hint="eastAsia"/>
          <w:bCs/>
          <w:sz w:val="24"/>
        </w:rPr>
        <w:t>标的指数”部分内容。</w:t>
      </w:r>
    </w:p>
    <w:p w14:paraId="7B2E7447" w14:textId="3077D682" w:rsidR="001B630D" w:rsidRDefault="001A559D" w:rsidP="001B630D">
      <w:pPr>
        <w:spacing w:line="360" w:lineRule="auto"/>
        <w:ind w:firstLineChars="200" w:firstLine="480"/>
        <w:rPr>
          <w:rFonts w:ascii="宋体" w:hAnsi="宋体" w:cs="Arial"/>
          <w:bCs/>
          <w:sz w:val="24"/>
        </w:rPr>
      </w:pPr>
      <w:r w:rsidRPr="001A559D">
        <w:rPr>
          <w:rFonts w:ascii="宋体" w:hAnsi="宋体" w:cs="Arial" w:hint="eastAsia"/>
          <w:bCs/>
          <w:sz w:val="24"/>
        </w:rPr>
        <w:t>若本基金调整业绩比较基准的要素权重，本基金将根据法律法规、中国证监会的规定和基金合同约定履行相关程序</w:t>
      </w:r>
      <w:r w:rsidR="001B630D" w:rsidRPr="001B630D">
        <w:rPr>
          <w:rFonts w:ascii="宋体" w:hAnsi="宋体" w:cs="Arial" w:hint="eastAsia"/>
          <w:bCs/>
          <w:sz w:val="24"/>
        </w:rPr>
        <w:t>。</w:t>
      </w:r>
    </w:p>
    <w:p w14:paraId="31A4F542" w14:textId="1DA41310" w:rsidR="00C52815" w:rsidRDefault="007144E2">
      <w:pPr>
        <w:spacing w:line="360" w:lineRule="auto"/>
        <w:ind w:firstLineChars="200" w:firstLine="480"/>
        <w:rPr>
          <w:rFonts w:ascii="宋体" w:hAnsi="宋体" w:cs="Arial"/>
          <w:bCs/>
          <w:sz w:val="24"/>
        </w:rPr>
      </w:pPr>
      <w:r>
        <w:rPr>
          <w:rFonts w:ascii="宋体" w:hAnsi="宋体" w:cs="Arial" w:hint="eastAsia"/>
          <w:bCs/>
          <w:sz w:val="24"/>
        </w:rPr>
        <w:t>六</w:t>
      </w:r>
      <w:r w:rsidR="005C44F4">
        <w:rPr>
          <w:rFonts w:ascii="宋体" w:hAnsi="宋体" w:cs="Arial"/>
          <w:bCs/>
          <w:sz w:val="24"/>
        </w:rPr>
        <w:t>、风险收益特征</w:t>
      </w:r>
    </w:p>
    <w:p w14:paraId="2465E5E4" w14:textId="77777777" w:rsidR="00CF0314" w:rsidRPr="00CF0314" w:rsidRDefault="00CF0314" w:rsidP="00CF0314">
      <w:pPr>
        <w:spacing w:line="360" w:lineRule="auto"/>
        <w:ind w:firstLineChars="200" w:firstLine="480"/>
        <w:rPr>
          <w:rFonts w:ascii="宋体" w:hAnsi="宋体" w:cs="Arial"/>
          <w:bCs/>
          <w:sz w:val="24"/>
        </w:rPr>
      </w:pPr>
      <w:r w:rsidRPr="00CF0314">
        <w:rPr>
          <w:rFonts w:ascii="宋体" w:hAnsi="宋体" w:cs="Arial" w:hint="eastAsia"/>
          <w:bCs/>
          <w:sz w:val="24"/>
        </w:rPr>
        <w:t>本基金属于股票型基金，其预期收益及预期风险水平高于混合型基金、债券型基金与货币市场基金。本基金为被动式投资的股票</w:t>
      </w:r>
      <w:proofErr w:type="gramStart"/>
      <w:r w:rsidRPr="00CF0314">
        <w:rPr>
          <w:rFonts w:ascii="宋体" w:hAnsi="宋体" w:cs="Arial" w:hint="eastAsia"/>
          <w:bCs/>
          <w:sz w:val="24"/>
        </w:rPr>
        <w:t>型指数</w:t>
      </w:r>
      <w:proofErr w:type="gramEnd"/>
      <w:r w:rsidRPr="00CF0314">
        <w:rPr>
          <w:rFonts w:ascii="宋体" w:hAnsi="宋体" w:cs="Arial" w:hint="eastAsia"/>
          <w:bCs/>
          <w:sz w:val="24"/>
        </w:rPr>
        <w:t>基金，跟踪标的指数，其风险收益特征与标的指数所表征的市场组合的风险收益特征相似。</w:t>
      </w:r>
    </w:p>
    <w:p w14:paraId="185D366E" w14:textId="74311E83" w:rsidR="00C52815" w:rsidRDefault="00CF0314" w:rsidP="00CF0314">
      <w:pPr>
        <w:spacing w:line="360" w:lineRule="auto"/>
        <w:ind w:firstLineChars="200" w:firstLine="480"/>
        <w:rPr>
          <w:rFonts w:ascii="宋体" w:hAnsi="宋体"/>
          <w:bCs/>
          <w:sz w:val="24"/>
        </w:rPr>
      </w:pPr>
      <w:r w:rsidRPr="00CF0314">
        <w:rPr>
          <w:rFonts w:ascii="宋体" w:hAnsi="宋体" w:cs="Arial" w:hint="eastAsia"/>
          <w:bCs/>
          <w:sz w:val="24"/>
        </w:rP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w:t>
      </w:r>
      <w:r w:rsidR="005C44F4">
        <w:rPr>
          <w:rFonts w:ascii="宋体" w:hAnsi="宋体" w:hint="eastAsia"/>
          <w:bCs/>
          <w:sz w:val="24"/>
        </w:rPr>
        <w:t>。</w:t>
      </w:r>
    </w:p>
    <w:p w14:paraId="4AFDDBAC" w14:textId="3A7C1784" w:rsidR="00C52815" w:rsidRDefault="007144E2">
      <w:pPr>
        <w:spacing w:line="360" w:lineRule="auto"/>
        <w:ind w:firstLineChars="200" w:firstLine="480"/>
        <w:rPr>
          <w:rFonts w:ascii="宋体" w:hAnsi="宋体" w:cs="Arial"/>
          <w:bCs/>
          <w:sz w:val="24"/>
        </w:rPr>
      </w:pPr>
      <w:r>
        <w:rPr>
          <w:rFonts w:ascii="宋体" w:hAnsi="宋体" w:cs="Arial" w:hint="eastAsia"/>
          <w:bCs/>
          <w:sz w:val="24"/>
        </w:rPr>
        <w:t>七</w:t>
      </w:r>
      <w:r w:rsidR="005C44F4">
        <w:rPr>
          <w:rFonts w:ascii="宋体" w:hAnsi="宋体" w:cs="Arial"/>
          <w:bCs/>
          <w:sz w:val="24"/>
        </w:rPr>
        <w:t>、投资限制</w:t>
      </w:r>
    </w:p>
    <w:p w14:paraId="07E13AC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1、组合限制</w:t>
      </w:r>
    </w:p>
    <w:p w14:paraId="6699210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基金的投资组合应遵循以下限制：</w:t>
      </w:r>
    </w:p>
    <w:p w14:paraId="1B954551" w14:textId="77777777" w:rsidR="00C52815" w:rsidRDefault="005C44F4">
      <w:pPr>
        <w:spacing w:line="360" w:lineRule="auto"/>
        <w:ind w:firstLineChars="200" w:firstLine="480"/>
        <w:rPr>
          <w:rFonts w:ascii="宋体" w:hAnsi="宋体" w:cs="Arial"/>
          <w:sz w:val="24"/>
        </w:rPr>
      </w:pPr>
      <w:bookmarkStart w:id="337" w:name="OLE_LINK9"/>
      <w:bookmarkStart w:id="338" w:name="OLE_LINK10"/>
      <w:r>
        <w:rPr>
          <w:rFonts w:ascii="宋体" w:hAnsi="宋体" w:cs="Arial"/>
          <w:sz w:val="24"/>
        </w:rPr>
        <w:t>（1）</w:t>
      </w:r>
      <w:r>
        <w:rPr>
          <w:rFonts w:ascii="宋体" w:hAnsi="宋体" w:cs="Arial"/>
          <w:bCs/>
          <w:sz w:val="24"/>
        </w:rPr>
        <w:t>本基金投资于标的指数成份股、备选成份股的比例不低于基金资产净值的90%</w:t>
      </w:r>
      <w:r>
        <w:rPr>
          <w:rFonts w:ascii="宋体" w:hAnsi="宋体" w:cs="Arial" w:hint="eastAsia"/>
          <w:bCs/>
          <w:sz w:val="24"/>
        </w:rPr>
        <w:t>，且不低于非现金基金资产的80%</w:t>
      </w:r>
      <w:r>
        <w:rPr>
          <w:rFonts w:ascii="宋体" w:hAnsi="宋体" w:cs="Arial"/>
          <w:sz w:val="24"/>
        </w:rPr>
        <w:t>；</w:t>
      </w:r>
    </w:p>
    <w:p w14:paraId="4890EF3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（2）本基金投资于同一原始权益人的各类资产支持证券的比例，不得超过基金资产净值的10％；</w:t>
      </w:r>
    </w:p>
    <w:p w14:paraId="7B370DE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（3）本基金持有的全部资产支持证券，其市值不得超过基金资产净值的20％；</w:t>
      </w:r>
    </w:p>
    <w:p w14:paraId="0A1DB589" w14:textId="218055CA" w:rsidR="00C52815" w:rsidRDefault="005C44F4">
      <w:pPr>
        <w:spacing w:line="360" w:lineRule="auto"/>
        <w:ind w:firstLineChars="200" w:firstLine="480"/>
        <w:rPr>
          <w:rFonts w:ascii="宋体" w:hAnsi="宋体" w:cs="Arial"/>
          <w:bCs/>
          <w:sz w:val="24"/>
        </w:rPr>
      </w:pPr>
      <w:r>
        <w:rPr>
          <w:rFonts w:ascii="宋体" w:hAnsi="宋体" w:cs="Arial"/>
          <w:bCs/>
          <w:sz w:val="24"/>
        </w:rPr>
        <w:t>（4）本基金持有的同一</w:t>
      </w:r>
      <w:r w:rsidR="00F614CF">
        <w:rPr>
          <w:rFonts w:ascii="宋体" w:hAnsi="宋体" w:cs="Arial" w:hint="eastAsia"/>
          <w:bCs/>
          <w:sz w:val="24"/>
        </w:rPr>
        <w:t>（</w:t>
      </w:r>
      <w:r>
        <w:rPr>
          <w:rFonts w:ascii="宋体" w:hAnsi="宋体" w:cs="Arial"/>
          <w:bCs/>
          <w:sz w:val="24"/>
        </w:rPr>
        <w:t>指同一信用级别</w:t>
      </w:r>
      <w:r w:rsidR="00F614CF">
        <w:rPr>
          <w:rFonts w:ascii="宋体" w:hAnsi="宋体" w:cs="Arial" w:hint="eastAsia"/>
          <w:bCs/>
          <w:sz w:val="24"/>
        </w:rPr>
        <w:t>)</w:t>
      </w:r>
      <w:r>
        <w:rPr>
          <w:rFonts w:ascii="宋体" w:hAnsi="宋体" w:cs="Arial"/>
          <w:bCs/>
          <w:sz w:val="24"/>
        </w:rPr>
        <w:t>资产支持证券的比例，不得超</w:t>
      </w:r>
      <w:r>
        <w:rPr>
          <w:rFonts w:ascii="宋体" w:hAnsi="宋体" w:cs="Arial"/>
          <w:bCs/>
          <w:sz w:val="24"/>
        </w:rPr>
        <w:lastRenderedPageBreak/>
        <w:t>过该资产支持证券规模的10％；</w:t>
      </w:r>
    </w:p>
    <w:p w14:paraId="30C9EF0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（5）本基金管理人管理的全部基金投资于同一原始权益人的各类资产支持证券，不得超过其各类资产支持证券合计规模的10％；</w:t>
      </w:r>
    </w:p>
    <w:p w14:paraId="4DE4E552" w14:textId="561730D0" w:rsidR="00C52815" w:rsidRDefault="005C44F4">
      <w:pPr>
        <w:spacing w:line="360" w:lineRule="auto"/>
        <w:ind w:firstLineChars="200" w:firstLine="480"/>
        <w:rPr>
          <w:rFonts w:ascii="宋体" w:hAnsi="宋体" w:cs="Arial"/>
          <w:bCs/>
          <w:sz w:val="24"/>
        </w:rPr>
      </w:pPr>
      <w:r>
        <w:rPr>
          <w:rFonts w:ascii="宋体" w:hAnsi="宋体" w:cs="Arial"/>
          <w:bCs/>
          <w:sz w:val="24"/>
        </w:rPr>
        <w:t>（6）本基金应投资于信用级别评级为BBB以上</w:t>
      </w:r>
      <w:r w:rsidR="00843A31">
        <w:rPr>
          <w:rFonts w:ascii="宋体" w:hAnsi="宋体" w:cs="Arial" w:hint="eastAsia"/>
          <w:bCs/>
          <w:sz w:val="24"/>
        </w:rPr>
        <w:t>（</w:t>
      </w:r>
      <w:r>
        <w:rPr>
          <w:rFonts w:ascii="宋体" w:hAnsi="宋体" w:cs="Arial"/>
          <w:bCs/>
          <w:sz w:val="24"/>
        </w:rPr>
        <w:t>含BBB</w:t>
      </w:r>
      <w:r w:rsidR="00843A31">
        <w:rPr>
          <w:rFonts w:ascii="宋体" w:hAnsi="宋体" w:cs="Arial" w:hint="eastAsia"/>
          <w:bCs/>
          <w:sz w:val="24"/>
        </w:rPr>
        <w:t>）</w:t>
      </w:r>
      <w:r>
        <w:rPr>
          <w:rFonts w:ascii="宋体" w:hAnsi="宋体" w:cs="Arial"/>
          <w:bCs/>
          <w:sz w:val="24"/>
        </w:rPr>
        <w:t>的资产支持证券。基金持有资产支持证券期间，如果其信用等级下降、不再符合投资标准，应在评级报告发布之日起3个月内予以全部卖出；</w:t>
      </w:r>
    </w:p>
    <w:p w14:paraId="613E509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（7）基金财产参与股票发行申购，本基金所申报的金额不超过本基金的总资产，本基金所申报的股票数量不超过拟发行股票公司本次发行股票的总量；</w:t>
      </w:r>
    </w:p>
    <w:p w14:paraId="2EA63D2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（8）基金总资产不得超过基金净资产的140%；</w:t>
      </w:r>
    </w:p>
    <w:p w14:paraId="091CBFCD" w14:textId="2ABD08CC" w:rsidR="00C52815" w:rsidRDefault="005C44F4">
      <w:pPr>
        <w:spacing w:line="360" w:lineRule="auto"/>
        <w:ind w:firstLineChars="200" w:firstLine="480"/>
        <w:rPr>
          <w:rFonts w:ascii="宋体" w:hAnsi="宋体" w:cs="Arial"/>
          <w:bCs/>
          <w:sz w:val="24"/>
        </w:rPr>
      </w:pPr>
      <w:r>
        <w:rPr>
          <w:rFonts w:ascii="宋体" w:hAnsi="宋体" w:cs="Arial"/>
          <w:bCs/>
          <w:sz w:val="24"/>
        </w:rPr>
        <w:t>（</w:t>
      </w:r>
      <w:r w:rsidR="00597C2F">
        <w:rPr>
          <w:rFonts w:ascii="宋体" w:hAnsi="宋体" w:cs="Arial"/>
          <w:bCs/>
          <w:sz w:val="24"/>
        </w:rPr>
        <w:t>9</w:t>
      </w:r>
      <w:r>
        <w:rPr>
          <w:rFonts w:ascii="宋体" w:hAnsi="宋体" w:cs="Arial"/>
          <w:bCs/>
          <w:sz w:val="24"/>
        </w:rPr>
        <w:t>）本基金</w:t>
      </w:r>
      <w:proofErr w:type="gramStart"/>
      <w:r>
        <w:rPr>
          <w:rFonts w:ascii="宋体" w:hAnsi="宋体" w:cs="Arial" w:hint="eastAsia"/>
          <w:bCs/>
          <w:sz w:val="24"/>
        </w:rPr>
        <w:t>若</w:t>
      </w:r>
      <w:r>
        <w:rPr>
          <w:rFonts w:ascii="宋体" w:hAnsi="宋体" w:cs="Arial"/>
          <w:bCs/>
          <w:sz w:val="24"/>
        </w:rPr>
        <w:t>参</w:t>
      </w:r>
      <w:proofErr w:type="gramEnd"/>
      <w:r>
        <w:rPr>
          <w:rFonts w:ascii="宋体" w:hAnsi="宋体" w:cs="Arial"/>
          <w:bCs/>
          <w:sz w:val="24"/>
        </w:rPr>
        <w:t>与股指期货交易，应当符合下列投资限制：</w:t>
      </w:r>
    </w:p>
    <w:p w14:paraId="2EF6BF37" w14:textId="77777777" w:rsidR="00C52815" w:rsidRDefault="005C44F4">
      <w:pPr>
        <w:spacing w:line="360" w:lineRule="auto"/>
        <w:ind w:firstLineChars="200" w:firstLine="480"/>
        <w:rPr>
          <w:rFonts w:ascii="宋体" w:hAnsi="宋体" w:cs="Arial"/>
          <w:bCs/>
          <w:sz w:val="24"/>
        </w:rPr>
      </w:pPr>
      <w:r>
        <w:rPr>
          <w:rFonts w:ascii="宋体" w:eastAsia="微软雅黑" w:hAnsi="宋体" w:cs="微软雅黑" w:hint="eastAsia"/>
          <w:bCs/>
          <w:sz w:val="24"/>
        </w:rPr>
        <w:t>①</w:t>
      </w:r>
      <w:r>
        <w:rPr>
          <w:rFonts w:ascii="宋体" w:hAnsi="宋体" w:cs="Arial"/>
          <w:bCs/>
          <w:sz w:val="24"/>
        </w:rPr>
        <w:t>本基金在任何交易日日终，持有的买入股指期货合约价值，不得超过基金资产净值的10%；</w:t>
      </w:r>
    </w:p>
    <w:p w14:paraId="4B126D1B" w14:textId="77777777" w:rsidR="00C52815" w:rsidRDefault="005C44F4">
      <w:pPr>
        <w:spacing w:line="360" w:lineRule="auto"/>
        <w:ind w:firstLineChars="200" w:firstLine="480"/>
        <w:rPr>
          <w:rFonts w:ascii="宋体" w:hAnsi="宋体" w:cs="Arial"/>
          <w:bCs/>
          <w:sz w:val="24"/>
        </w:rPr>
      </w:pPr>
      <w:r>
        <w:rPr>
          <w:rFonts w:ascii="宋体" w:eastAsia="微软雅黑" w:hAnsi="宋体" w:cs="微软雅黑" w:hint="eastAsia"/>
          <w:bCs/>
          <w:sz w:val="24"/>
        </w:rPr>
        <w:t>②</w:t>
      </w:r>
      <w:r>
        <w:rPr>
          <w:rFonts w:ascii="宋体" w:hAnsi="宋体" w:cs="Arial"/>
          <w:bCs/>
          <w:sz w:val="24"/>
        </w:rPr>
        <w:t>本基金在任何交易日日终，持有的买入股指期货、国债期货合约价值与有价证券市值之和，不得超过基金资产净值的100%；</w:t>
      </w:r>
    </w:p>
    <w:p w14:paraId="1CF093A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其中，有价证券指股票、债券（不含到期日在一年以内的政府债券）、资产支持证券、买入返售金融资产（不含质押式回购）等；</w:t>
      </w:r>
    </w:p>
    <w:p w14:paraId="545C53C4" w14:textId="77777777" w:rsidR="00C52815" w:rsidRDefault="005C44F4">
      <w:pPr>
        <w:spacing w:line="360" w:lineRule="auto"/>
        <w:ind w:firstLineChars="200" w:firstLine="480"/>
        <w:rPr>
          <w:rFonts w:ascii="宋体" w:hAnsi="宋体" w:cs="Arial"/>
          <w:bCs/>
          <w:sz w:val="24"/>
        </w:rPr>
      </w:pPr>
      <w:r>
        <w:rPr>
          <w:rFonts w:ascii="宋体" w:eastAsia="微软雅黑" w:hAnsi="宋体" w:cs="微软雅黑" w:hint="eastAsia"/>
          <w:bCs/>
          <w:sz w:val="24"/>
        </w:rPr>
        <w:t>③</w:t>
      </w:r>
      <w:r>
        <w:rPr>
          <w:rFonts w:ascii="宋体" w:hAnsi="宋体" w:cs="Arial"/>
          <w:bCs/>
          <w:sz w:val="24"/>
        </w:rPr>
        <w:t>本基金在任何交易日日终，持有的卖出股指期货合约价值不得超过基金持有的股票总市值的20%</w:t>
      </w:r>
      <w:r>
        <w:rPr>
          <w:rFonts w:ascii="宋体" w:hAnsi="宋体" w:cs="Arial" w:hint="eastAsia"/>
          <w:bCs/>
          <w:sz w:val="24"/>
        </w:rPr>
        <w:t>；</w:t>
      </w:r>
    </w:p>
    <w:p w14:paraId="75065C98" w14:textId="77777777" w:rsidR="00C52815" w:rsidRDefault="005C44F4">
      <w:pPr>
        <w:spacing w:line="360" w:lineRule="auto"/>
        <w:ind w:firstLineChars="200" w:firstLine="480"/>
        <w:rPr>
          <w:rFonts w:ascii="宋体" w:hAnsi="宋体" w:cs="Arial"/>
          <w:bCs/>
          <w:sz w:val="24"/>
        </w:rPr>
      </w:pPr>
      <w:r>
        <w:rPr>
          <w:rFonts w:ascii="宋体" w:eastAsia="微软雅黑" w:hAnsi="宋体" w:cs="微软雅黑" w:hint="eastAsia"/>
          <w:bCs/>
          <w:sz w:val="24"/>
        </w:rPr>
        <w:t>④</w:t>
      </w:r>
      <w:r>
        <w:rPr>
          <w:rFonts w:ascii="宋体" w:hAnsi="宋体" w:cs="Arial"/>
          <w:bCs/>
          <w:sz w:val="24"/>
        </w:rPr>
        <w:t>本基金所持有的股票市值和买入、卖出股指期货合约价值，合计（轧差计算）应当符合基金合同关于股票投资比例的有关约定；</w:t>
      </w:r>
    </w:p>
    <w:p w14:paraId="101B1D9F" w14:textId="77777777" w:rsidR="00C52815" w:rsidRDefault="005C44F4">
      <w:pPr>
        <w:spacing w:line="360" w:lineRule="auto"/>
        <w:ind w:firstLineChars="200" w:firstLine="480"/>
        <w:rPr>
          <w:rFonts w:ascii="宋体" w:hAnsi="宋体" w:cs="Arial"/>
          <w:bCs/>
          <w:sz w:val="24"/>
        </w:rPr>
      </w:pPr>
      <w:r>
        <w:rPr>
          <w:rFonts w:ascii="宋体" w:eastAsia="微软雅黑" w:hAnsi="宋体" w:cs="微软雅黑" w:hint="eastAsia"/>
          <w:bCs/>
          <w:sz w:val="24"/>
        </w:rPr>
        <w:t>⑤</w:t>
      </w:r>
      <w:r>
        <w:rPr>
          <w:rFonts w:ascii="宋体" w:hAnsi="宋体" w:cs="Arial"/>
          <w:bCs/>
          <w:sz w:val="24"/>
        </w:rPr>
        <w:t>本基金在任何交易日内交易（不包括平仓）的股指期货合约的成交金额不得超过上一交易日基金资产净值的20%；</w:t>
      </w:r>
    </w:p>
    <w:p w14:paraId="7B4C0D89" w14:textId="77777777" w:rsidR="00C52815" w:rsidRDefault="005C44F4">
      <w:pPr>
        <w:spacing w:line="360" w:lineRule="auto"/>
        <w:ind w:firstLineChars="200" w:firstLine="480"/>
        <w:rPr>
          <w:rFonts w:ascii="宋体" w:hAnsi="宋体" w:cs="Arial"/>
          <w:bCs/>
          <w:sz w:val="24"/>
        </w:rPr>
      </w:pPr>
      <w:r>
        <w:rPr>
          <w:rFonts w:ascii="宋体" w:eastAsia="微软雅黑" w:hAnsi="宋体" w:cs="微软雅黑" w:hint="eastAsia"/>
          <w:bCs/>
          <w:sz w:val="24"/>
        </w:rPr>
        <w:t>⑥</w:t>
      </w:r>
      <w:r>
        <w:rPr>
          <w:rFonts w:ascii="宋体" w:hAnsi="宋体" w:cs="Arial"/>
          <w:bCs/>
          <w:sz w:val="24"/>
        </w:rPr>
        <w:t>每个交易日日终，在扣除股指期货和国债期货合约需缴纳的交易保证金后，本基金应当保持不低于交易保证金一倍的现金；</w:t>
      </w:r>
    </w:p>
    <w:p w14:paraId="2FB04A7D" w14:textId="310753F3" w:rsidR="00C52815" w:rsidRDefault="005C44F4">
      <w:pPr>
        <w:spacing w:line="360" w:lineRule="auto"/>
        <w:ind w:firstLine="480"/>
        <w:rPr>
          <w:rFonts w:ascii="宋体" w:hAnsi="宋体" w:cs="Arial"/>
          <w:bCs/>
          <w:sz w:val="24"/>
        </w:rPr>
      </w:pPr>
      <w:r>
        <w:rPr>
          <w:rFonts w:ascii="宋体" w:hAnsi="宋体" w:cs="Arial"/>
          <w:bCs/>
          <w:sz w:val="24"/>
        </w:rPr>
        <w:t>（1</w:t>
      </w:r>
      <w:r w:rsidR="00597C2F">
        <w:rPr>
          <w:rFonts w:ascii="宋体" w:hAnsi="宋体" w:cs="Arial"/>
          <w:bCs/>
          <w:sz w:val="24"/>
        </w:rPr>
        <w:t>0</w:t>
      </w:r>
      <w:r>
        <w:rPr>
          <w:rFonts w:ascii="宋体" w:hAnsi="宋体" w:cs="Arial"/>
          <w:bCs/>
          <w:sz w:val="24"/>
        </w:rPr>
        <w:t>）本基金</w:t>
      </w:r>
      <w:proofErr w:type="gramStart"/>
      <w:r>
        <w:rPr>
          <w:rFonts w:ascii="宋体" w:hAnsi="宋体" w:cs="Arial"/>
          <w:bCs/>
          <w:sz w:val="24"/>
        </w:rPr>
        <w:t>若参</w:t>
      </w:r>
      <w:proofErr w:type="gramEnd"/>
      <w:r>
        <w:rPr>
          <w:rFonts w:ascii="宋体" w:hAnsi="宋体" w:cs="Arial"/>
          <w:bCs/>
          <w:sz w:val="24"/>
        </w:rPr>
        <w:t>与国债期货交易，应当符合下列投资限制：</w:t>
      </w:r>
    </w:p>
    <w:p w14:paraId="192671DB"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①</w:t>
      </w:r>
      <w:r>
        <w:rPr>
          <w:rFonts w:ascii="宋体" w:hAnsi="宋体" w:cs="Arial"/>
          <w:bCs/>
          <w:sz w:val="24"/>
        </w:rPr>
        <w:t>本基金在任何交易日日终，持有的买入国债期货合约价值，不得超过基金资产净值的15%；</w:t>
      </w:r>
    </w:p>
    <w:p w14:paraId="72EAAD3B"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lastRenderedPageBreak/>
        <w:t>②</w:t>
      </w:r>
      <w:r>
        <w:rPr>
          <w:rFonts w:ascii="宋体" w:hAnsi="宋体" w:cs="Arial"/>
          <w:bCs/>
          <w:sz w:val="24"/>
        </w:rPr>
        <w:t xml:space="preserve">本基金在任何交易日日终，在扣除股指期货和国债期货合约需缴纳的交易保证金后，应当保持不低于交易保证金一倍的现金； </w:t>
      </w:r>
    </w:p>
    <w:p w14:paraId="3004A5FF" w14:textId="49708A3F"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③</w:t>
      </w:r>
      <w:r>
        <w:rPr>
          <w:rFonts w:ascii="宋体" w:hAnsi="宋体" w:cs="Arial"/>
          <w:bCs/>
          <w:sz w:val="24"/>
        </w:rPr>
        <w:t>本基金在任何交易日日终，持有的买入股指期货、国债期货合约价值与有价证券市值之和，不得超过基金资产净值的100%</w:t>
      </w:r>
      <w:r w:rsidR="004A51FD">
        <w:rPr>
          <w:rFonts w:ascii="宋体" w:hAnsi="宋体" w:cs="Arial"/>
          <w:bCs/>
          <w:sz w:val="24"/>
        </w:rPr>
        <w:t>；</w:t>
      </w:r>
    </w:p>
    <w:p w14:paraId="3D610154" w14:textId="77777777" w:rsidR="00C52815" w:rsidRDefault="005C44F4">
      <w:pPr>
        <w:spacing w:line="360" w:lineRule="auto"/>
        <w:ind w:firstLine="480"/>
        <w:rPr>
          <w:rFonts w:ascii="宋体" w:hAnsi="宋体" w:cs="Arial"/>
          <w:bCs/>
          <w:sz w:val="24"/>
        </w:rPr>
      </w:pPr>
      <w:r>
        <w:rPr>
          <w:rFonts w:ascii="宋体" w:hAnsi="宋体" w:cs="Arial"/>
          <w:bCs/>
          <w:sz w:val="24"/>
        </w:rPr>
        <w:t>其中，有价证券指股票、债券（不含到期日在一年以内的政府债券）、资产支持证券、买入返售金融资产（不含质押式回购）等；</w:t>
      </w:r>
    </w:p>
    <w:p w14:paraId="4D7CB740"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④</w:t>
      </w:r>
      <w:r>
        <w:rPr>
          <w:rFonts w:ascii="宋体" w:hAnsi="宋体" w:cs="Arial"/>
          <w:bCs/>
          <w:sz w:val="24"/>
        </w:rPr>
        <w:t>本基金在任何交易日日终，持有的卖出国债期货合约价值不得超过基金持有的债券总市值的30%；</w:t>
      </w:r>
    </w:p>
    <w:p w14:paraId="448EF3E2"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⑤</w:t>
      </w:r>
      <w:r>
        <w:rPr>
          <w:rFonts w:ascii="宋体" w:hAnsi="宋体" w:cs="Arial"/>
          <w:bCs/>
          <w:sz w:val="24"/>
        </w:rPr>
        <w:t>本基金所持有的债券(不含到期日在一年以内的政府债券)市值和买入、卖出国债期货合约价值，合计(轧差计算)应当符合基金合同关于债券投资比例的有关约定；</w:t>
      </w:r>
    </w:p>
    <w:p w14:paraId="3B2EF294"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⑥</w:t>
      </w:r>
      <w:r>
        <w:rPr>
          <w:rFonts w:ascii="宋体" w:hAnsi="宋体" w:cs="Arial"/>
          <w:bCs/>
          <w:sz w:val="24"/>
        </w:rPr>
        <w:t>本基金在任何交易日内交易（不包括平仓）的国债期货合约的成交金额不得超过上一交易日基金资产净值的30%；</w:t>
      </w:r>
    </w:p>
    <w:p w14:paraId="131CEA91" w14:textId="012C62F4" w:rsidR="00C52815" w:rsidRDefault="005C44F4">
      <w:pPr>
        <w:spacing w:line="360" w:lineRule="auto"/>
        <w:ind w:firstLine="480"/>
        <w:rPr>
          <w:rFonts w:ascii="宋体" w:hAnsi="宋体" w:cs="Arial"/>
          <w:bCs/>
          <w:sz w:val="24"/>
        </w:rPr>
      </w:pPr>
      <w:r>
        <w:rPr>
          <w:rFonts w:ascii="宋体" w:hAnsi="宋体" w:cs="Arial"/>
          <w:bCs/>
          <w:sz w:val="24"/>
        </w:rPr>
        <w:t>（1</w:t>
      </w:r>
      <w:r w:rsidR="00597C2F">
        <w:rPr>
          <w:rFonts w:ascii="宋体" w:hAnsi="宋体" w:cs="Arial"/>
          <w:bCs/>
          <w:sz w:val="24"/>
        </w:rPr>
        <w:t>1</w:t>
      </w:r>
      <w:r>
        <w:rPr>
          <w:rFonts w:ascii="宋体" w:hAnsi="宋体" w:cs="Arial"/>
          <w:bCs/>
          <w:sz w:val="24"/>
        </w:rPr>
        <w:t>）本基金</w:t>
      </w:r>
      <w:proofErr w:type="gramStart"/>
      <w:r>
        <w:rPr>
          <w:rFonts w:ascii="宋体" w:hAnsi="宋体" w:cs="Arial" w:hint="eastAsia"/>
          <w:bCs/>
          <w:sz w:val="24"/>
        </w:rPr>
        <w:t>若</w:t>
      </w:r>
      <w:r>
        <w:rPr>
          <w:rFonts w:ascii="宋体" w:hAnsi="宋体" w:cs="Arial"/>
          <w:bCs/>
          <w:sz w:val="24"/>
        </w:rPr>
        <w:t>参</w:t>
      </w:r>
      <w:proofErr w:type="gramEnd"/>
      <w:r>
        <w:rPr>
          <w:rFonts w:ascii="宋体" w:hAnsi="宋体" w:cs="Arial"/>
          <w:bCs/>
          <w:sz w:val="24"/>
        </w:rPr>
        <w:t>与股票期权交易，应当符合下列投资限制：</w:t>
      </w:r>
    </w:p>
    <w:p w14:paraId="575F6523"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①</w:t>
      </w:r>
      <w:r>
        <w:rPr>
          <w:rFonts w:ascii="宋体" w:hAnsi="宋体" w:cs="Arial"/>
          <w:bCs/>
          <w:sz w:val="24"/>
        </w:rPr>
        <w:t>基金因未平仓的期权合约支付和收取的权利金总额不得超过基金资产净值的10%；</w:t>
      </w:r>
    </w:p>
    <w:p w14:paraId="01B7CCDB"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②</w:t>
      </w:r>
      <w:r>
        <w:rPr>
          <w:rFonts w:ascii="宋体" w:hAnsi="宋体" w:cs="Arial"/>
          <w:bCs/>
          <w:sz w:val="24"/>
        </w:rPr>
        <w:t>开仓卖出认购期权的，应持有足额标的证券；开仓卖出认沽期权的，应持有合约行权所需的全额现金或交易所规则认可的可冲抵期权保证金的现金等价物；</w:t>
      </w:r>
    </w:p>
    <w:p w14:paraId="033A9892"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③</w:t>
      </w:r>
      <w:r>
        <w:rPr>
          <w:rFonts w:ascii="宋体" w:hAnsi="宋体" w:cs="Arial"/>
          <w:bCs/>
          <w:sz w:val="24"/>
        </w:rPr>
        <w:t>未平仓的期权合约面值不得超过基金资产净值的20%。其中，合约面值按照行权价乘以合约乘数计算；</w:t>
      </w:r>
    </w:p>
    <w:p w14:paraId="79FBD68E" w14:textId="1EDCDDAB" w:rsidR="00C52815" w:rsidRDefault="005C44F4">
      <w:pPr>
        <w:spacing w:line="360" w:lineRule="auto"/>
        <w:ind w:firstLine="480"/>
        <w:rPr>
          <w:rFonts w:ascii="宋体" w:hAnsi="宋体" w:cs="Arial"/>
          <w:bCs/>
          <w:sz w:val="24"/>
        </w:rPr>
      </w:pPr>
      <w:r>
        <w:rPr>
          <w:rFonts w:ascii="宋体" w:hAnsi="宋体" w:cs="Arial"/>
          <w:bCs/>
          <w:sz w:val="24"/>
        </w:rPr>
        <w:t>（1</w:t>
      </w:r>
      <w:r w:rsidR="00597C2F">
        <w:rPr>
          <w:rFonts w:ascii="宋体" w:hAnsi="宋体" w:cs="Arial"/>
          <w:bCs/>
          <w:sz w:val="24"/>
        </w:rPr>
        <w:t>2</w:t>
      </w:r>
      <w:r>
        <w:rPr>
          <w:rFonts w:ascii="宋体" w:hAnsi="宋体" w:cs="Arial"/>
          <w:bCs/>
          <w:sz w:val="24"/>
        </w:rPr>
        <w:t>）本基金参与融资业务后，在任何交易日日终，持有的融资买入股票与其他有价证券市值之和，不得超过基金资产净值的 95%；</w:t>
      </w:r>
    </w:p>
    <w:p w14:paraId="4D62FB4B" w14:textId="1A30B75A" w:rsidR="00C52815" w:rsidRDefault="005C44F4">
      <w:pPr>
        <w:spacing w:line="360" w:lineRule="auto"/>
        <w:ind w:firstLine="480"/>
        <w:rPr>
          <w:rFonts w:ascii="宋体" w:hAnsi="宋体" w:cs="Arial"/>
          <w:bCs/>
          <w:sz w:val="24"/>
        </w:rPr>
      </w:pPr>
      <w:r>
        <w:rPr>
          <w:rFonts w:ascii="宋体" w:hAnsi="宋体" w:cs="Arial"/>
          <w:bCs/>
          <w:sz w:val="24"/>
        </w:rPr>
        <w:t>（1</w:t>
      </w:r>
      <w:r w:rsidR="00597C2F">
        <w:rPr>
          <w:rFonts w:ascii="宋体" w:hAnsi="宋体" w:cs="Arial"/>
          <w:bCs/>
          <w:sz w:val="24"/>
        </w:rPr>
        <w:t>3</w:t>
      </w:r>
      <w:r>
        <w:rPr>
          <w:rFonts w:ascii="宋体" w:hAnsi="宋体" w:cs="Arial"/>
          <w:bCs/>
          <w:sz w:val="24"/>
        </w:rPr>
        <w:t>）本基金参与转融通证券出借业务，应当符合下列投资限制：</w:t>
      </w:r>
    </w:p>
    <w:p w14:paraId="694F4C3A"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①</w:t>
      </w:r>
      <w:r>
        <w:rPr>
          <w:rFonts w:ascii="宋体" w:hAnsi="宋体" w:cs="Arial"/>
          <w:bCs/>
          <w:sz w:val="24"/>
        </w:rPr>
        <w:t>出借证券资产不得超过基金资产净值的30%，出借期限在10个交易日以上的出借证券应纳入《流动性风险管理规定》所述流动性受限证券的范围；</w:t>
      </w:r>
    </w:p>
    <w:p w14:paraId="222C4110"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lastRenderedPageBreak/>
        <w:t>②</w:t>
      </w:r>
      <w:r>
        <w:rPr>
          <w:rFonts w:ascii="宋体" w:hAnsi="宋体" w:cs="Arial"/>
          <w:bCs/>
          <w:sz w:val="24"/>
        </w:rPr>
        <w:t>本基金参与出借业务的单只证券不得超过基金持有该证券总量的30%；</w:t>
      </w:r>
    </w:p>
    <w:p w14:paraId="16C8BD2F"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③</w:t>
      </w:r>
      <w:r>
        <w:rPr>
          <w:rFonts w:ascii="宋体" w:hAnsi="宋体" w:cs="Arial"/>
          <w:bCs/>
          <w:sz w:val="24"/>
        </w:rPr>
        <w:t>最近6个月内日均基金资产净值不得低于2亿元；</w:t>
      </w:r>
    </w:p>
    <w:p w14:paraId="2E0E7AA8"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④</w:t>
      </w:r>
      <w:r>
        <w:rPr>
          <w:rFonts w:ascii="宋体" w:hAnsi="宋体" w:cs="Arial"/>
          <w:bCs/>
          <w:sz w:val="24"/>
        </w:rPr>
        <w:t>证券出借的平均剩余期限不得超过30天，平均剩余期限按照市值加权平均计算；</w:t>
      </w:r>
    </w:p>
    <w:p w14:paraId="7C845CEA" w14:textId="77777777" w:rsidR="00C52815" w:rsidRDefault="005C44F4">
      <w:pPr>
        <w:spacing w:line="360" w:lineRule="auto"/>
        <w:ind w:firstLine="480"/>
        <w:rPr>
          <w:rFonts w:ascii="宋体" w:hAnsi="宋体" w:cs="Arial"/>
          <w:bCs/>
          <w:sz w:val="24"/>
        </w:rPr>
      </w:pPr>
      <w:r>
        <w:rPr>
          <w:rFonts w:ascii="宋体" w:hAnsi="宋体" w:cs="Arial"/>
          <w:bCs/>
          <w:sz w:val="24"/>
        </w:rPr>
        <w:t>因证券市场波动、上市公司合并、基金规模变动等基金管理人之外的因素致使基金投资不符合上述规定的，基金管理人不得新增出借业务；</w:t>
      </w:r>
    </w:p>
    <w:p w14:paraId="7CED6DB2" w14:textId="59F6A896" w:rsidR="00C52815" w:rsidRDefault="005C44F4">
      <w:pPr>
        <w:spacing w:line="360" w:lineRule="auto"/>
        <w:ind w:firstLine="480"/>
        <w:rPr>
          <w:rFonts w:ascii="宋体" w:hAnsi="宋体" w:cs="Arial"/>
          <w:bCs/>
          <w:sz w:val="24"/>
        </w:rPr>
      </w:pPr>
      <w:r>
        <w:rPr>
          <w:rFonts w:ascii="宋体" w:hAnsi="宋体" w:cs="Arial"/>
          <w:bCs/>
          <w:sz w:val="24"/>
        </w:rPr>
        <w:t>（1</w:t>
      </w:r>
      <w:r w:rsidR="00597C2F">
        <w:rPr>
          <w:rFonts w:ascii="宋体" w:hAnsi="宋体" w:cs="Arial"/>
          <w:bCs/>
          <w:sz w:val="24"/>
        </w:rPr>
        <w:t>4</w:t>
      </w:r>
      <w:r>
        <w:rPr>
          <w:rFonts w:ascii="宋体" w:hAnsi="宋体" w:cs="Arial"/>
          <w:bCs/>
          <w:sz w:val="24"/>
        </w:rPr>
        <w:t xml:space="preserve">）本基金主动投资于流动性受限资产的市值合计不得超过基金资产净值的15%；因证券市场波动、上市公司股票停牌、基金规模变动等基金管理人之外的因素致使基金不符合本款所规定比例限制的，本基金管理人不得主动新增流动性受限资产的投资；  </w:t>
      </w:r>
    </w:p>
    <w:p w14:paraId="3B964D0F" w14:textId="66AE5D1E" w:rsidR="00C52815" w:rsidRDefault="005C44F4">
      <w:pPr>
        <w:spacing w:line="360" w:lineRule="auto"/>
        <w:ind w:firstLine="480"/>
        <w:rPr>
          <w:rFonts w:ascii="宋体" w:hAnsi="宋体" w:cs="Arial"/>
          <w:bCs/>
          <w:sz w:val="24"/>
        </w:rPr>
      </w:pPr>
      <w:r>
        <w:rPr>
          <w:rFonts w:ascii="宋体" w:hAnsi="宋体" w:cs="Arial"/>
          <w:bCs/>
          <w:sz w:val="24"/>
        </w:rPr>
        <w:t>（1</w:t>
      </w:r>
      <w:r w:rsidR="00597C2F">
        <w:rPr>
          <w:rFonts w:ascii="宋体" w:hAnsi="宋体" w:cs="Arial"/>
          <w:bCs/>
          <w:sz w:val="24"/>
        </w:rPr>
        <w:t>5</w:t>
      </w:r>
      <w:r>
        <w:rPr>
          <w:rFonts w:ascii="宋体" w:hAnsi="宋体" w:cs="Arial"/>
          <w:bCs/>
          <w:sz w:val="24"/>
        </w:rPr>
        <w:t>）本基金与私募类</w:t>
      </w:r>
      <w:proofErr w:type="gramStart"/>
      <w:r>
        <w:rPr>
          <w:rFonts w:ascii="宋体" w:hAnsi="宋体" w:cs="Arial"/>
          <w:bCs/>
          <w:sz w:val="24"/>
        </w:rPr>
        <w:t>证券资管产品</w:t>
      </w:r>
      <w:proofErr w:type="gramEnd"/>
      <w:r>
        <w:rPr>
          <w:rFonts w:ascii="宋体" w:hAnsi="宋体" w:cs="Arial"/>
          <w:bCs/>
          <w:sz w:val="24"/>
        </w:rPr>
        <w:t>及中国证监会认定的其他主体为交易对手开展逆回购交易的，可接受质押品的资质要求应当与基金合同约定的投资范围保持一致；</w:t>
      </w:r>
    </w:p>
    <w:p w14:paraId="10171AFC" w14:textId="4A372928" w:rsidR="00C52815" w:rsidRDefault="005C44F4">
      <w:pPr>
        <w:spacing w:line="360" w:lineRule="auto"/>
        <w:ind w:firstLine="480"/>
        <w:rPr>
          <w:rFonts w:ascii="宋体" w:hAnsi="宋体" w:cs="Arial"/>
          <w:bCs/>
          <w:sz w:val="24"/>
        </w:rPr>
      </w:pPr>
      <w:r>
        <w:rPr>
          <w:rFonts w:ascii="宋体" w:hAnsi="宋体" w:cs="Arial"/>
          <w:bCs/>
          <w:sz w:val="24"/>
        </w:rPr>
        <w:t>（1</w:t>
      </w:r>
      <w:r w:rsidR="00597C2F">
        <w:rPr>
          <w:rFonts w:ascii="宋体" w:hAnsi="宋体" w:cs="Arial"/>
          <w:bCs/>
          <w:sz w:val="24"/>
        </w:rPr>
        <w:t>6</w:t>
      </w:r>
      <w:r>
        <w:rPr>
          <w:rFonts w:ascii="宋体" w:hAnsi="宋体" w:cs="Arial"/>
          <w:bCs/>
          <w:sz w:val="24"/>
        </w:rPr>
        <w:t>）本基金投资存托凭证的比例限制依照国内依法发行上市的股票执行，与国内依法发行上市的股票合并计算；</w:t>
      </w:r>
    </w:p>
    <w:p w14:paraId="6172E38D" w14:textId="4132B487" w:rsidR="00C52815" w:rsidRDefault="005C44F4">
      <w:pPr>
        <w:spacing w:line="360" w:lineRule="auto"/>
        <w:ind w:firstLine="480"/>
        <w:rPr>
          <w:rFonts w:ascii="宋体" w:hAnsi="宋体" w:cs="Arial"/>
          <w:bCs/>
          <w:sz w:val="24"/>
        </w:rPr>
      </w:pPr>
      <w:r>
        <w:rPr>
          <w:rFonts w:ascii="宋体" w:hAnsi="宋体" w:cs="Arial"/>
          <w:bCs/>
          <w:sz w:val="24"/>
        </w:rPr>
        <w:t>（1</w:t>
      </w:r>
      <w:r w:rsidR="00597C2F">
        <w:rPr>
          <w:rFonts w:ascii="宋体" w:hAnsi="宋体" w:cs="Arial"/>
          <w:bCs/>
          <w:sz w:val="24"/>
        </w:rPr>
        <w:t>7</w:t>
      </w:r>
      <w:r>
        <w:rPr>
          <w:rFonts w:ascii="宋体" w:hAnsi="宋体" w:cs="Arial"/>
          <w:bCs/>
          <w:sz w:val="24"/>
        </w:rPr>
        <w:t>）法律法规及中国证监会规定的和《基金合同》约定的其他投资限制。</w:t>
      </w:r>
    </w:p>
    <w:p w14:paraId="0F90864C" w14:textId="443D2E87" w:rsidR="00C52815" w:rsidRDefault="005C44F4">
      <w:pPr>
        <w:spacing w:line="360" w:lineRule="auto"/>
        <w:ind w:firstLineChars="200" w:firstLine="480"/>
        <w:rPr>
          <w:rFonts w:ascii="宋体" w:hAnsi="宋体" w:cs="Arial"/>
          <w:bCs/>
        </w:rPr>
      </w:pPr>
      <w:r>
        <w:rPr>
          <w:rFonts w:ascii="宋体" w:hAnsi="宋体" w:cs="Arial"/>
          <w:bCs/>
          <w:sz w:val="24"/>
        </w:rPr>
        <w:t>除第（6）、（1</w:t>
      </w:r>
      <w:r w:rsidR="00597C2F">
        <w:rPr>
          <w:rFonts w:ascii="宋体" w:hAnsi="宋体" w:cs="Arial"/>
          <w:bCs/>
          <w:sz w:val="24"/>
        </w:rPr>
        <w:t>3</w:t>
      </w:r>
      <w:r>
        <w:rPr>
          <w:rFonts w:ascii="宋体" w:hAnsi="宋体" w:cs="Arial"/>
          <w:bCs/>
          <w:sz w:val="24"/>
        </w:rPr>
        <w:t>）、（1</w:t>
      </w:r>
      <w:r w:rsidR="00597C2F">
        <w:rPr>
          <w:rFonts w:ascii="宋体" w:hAnsi="宋体" w:cs="Arial"/>
          <w:bCs/>
          <w:sz w:val="24"/>
        </w:rPr>
        <w:t>4</w:t>
      </w:r>
      <w:r>
        <w:rPr>
          <w:rFonts w:ascii="宋体" w:hAnsi="宋体" w:cs="Arial"/>
          <w:bCs/>
          <w:sz w:val="24"/>
        </w:rPr>
        <w:t>）、（1</w:t>
      </w:r>
      <w:r w:rsidR="00597C2F">
        <w:rPr>
          <w:rFonts w:ascii="宋体" w:hAnsi="宋体" w:cs="Arial"/>
          <w:bCs/>
          <w:sz w:val="24"/>
        </w:rPr>
        <w:t>5</w:t>
      </w:r>
      <w:r>
        <w:rPr>
          <w:rFonts w:ascii="宋体" w:hAnsi="宋体" w:cs="Arial"/>
          <w:bCs/>
          <w:sz w:val="24"/>
        </w:rPr>
        <w:t>）项外，因证券、期货市场波动、证券发行人合并、基金规模变动、标的指数成份股调整、标的指数成份股流动性限制等基金管理人之外的因素致使基金投资比例不符合上述规定投资比例的，基金管理人应当在所涉证券可交易之日起10个交易日内进行调整，但中国证监会规定的特殊情形除外。法律法规另有规定的，从其规定。</w:t>
      </w:r>
    </w:p>
    <w:p w14:paraId="367CBE9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6AA799E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2、禁止行为</w:t>
      </w:r>
    </w:p>
    <w:p w14:paraId="3AC88CA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为维护基金份额持有人的合法权益，基金财产不得用于下列投资或者活动：</w:t>
      </w:r>
    </w:p>
    <w:p w14:paraId="3AC9036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（1）承销证券；</w:t>
      </w:r>
    </w:p>
    <w:p w14:paraId="4C93DE8E"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（2）违反规定向他人贷款或者提供担保；</w:t>
      </w:r>
    </w:p>
    <w:p w14:paraId="5FCDD58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（3）从事承担无限责任的投资；</w:t>
      </w:r>
    </w:p>
    <w:p w14:paraId="7684D9F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（4）买卖其他基金份额，但是中国证监会另有规定的除外；</w:t>
      </w:r>
    </w:p>
    <w:p w14:paraId="61AA5DE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（5）向其基金管理人、基金托管人出资；</w:t>
      </w:r>
    </w:p>
    <w:p w14:paraId="5FE12EE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（6）从事内幕交易、操纵证券交易价格及其他不正当的证券交易活动；</w:t>
      </w:r>
    </w:p>
    <w:p w14:paraId="5CD202E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（7）法律、行政法规和中国证监会规定禁止的其他活动。</w:t>
      </w:r>
    </w:p>
    <w:p w14:paraId="7FC72D36" w14:textId="77777777" w:rsidR="00C52815" w:rsidRDefault="005C44F4">
      <w:pPr>
        <w:spacing w:line="360" w:lineRule="auto"/>
        <w:ind w:firstLine="480"/>
        <w:rPr>
          <w:rFonts w:ascii="宋体" w:hAnsi="宋体" w:cs="Arial"/>
          <w:bCs/>
          <w:sz w:val="24"/>
        </w:rPr>
      </w:pPr>
      <w:r>
        <w:rPr>
          <w:rFonts w:ascii="宋体" w:hAnsi="宋体" w:cs="Arial" w:hint="eastAsia"/>
          <w:bCs/>
          <w:sz w:val="24"/>
        </w:rPr>
        <w:t>除标的指数成份股、备选成份股之外，</w:t>
      </w:r>
      <w:r>
        <w:rPr>
          <w:rFonts w:ascii="宋体" w:hAnsi="宋体" w:cs="Arial"/>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含三分之二）的独立董事通过。基金管理人董事会应至少每半年对关联交易事项进行审查。</w:t>
      </w:r>
    </w:p>
    <w:p w14:paraId="171E7F22" w14:textId="77777777" w:rsidR="00C52815" w:rsidRDefault="005C44F4">
      <w:pPr>
        <w:spacing w:line="360" w:lineRule="auto"/>
        <w:ind w:firstLine="480"/>
        <w:rPr>
          <w:rFonts w:ascii="宋体" w:hAnsi="宋体" w:cs="Arial"/>
          <w:bCs/>
          <w:sz w:val="24"/>
        </w:rPr>
      </w:pPr>
      <w:r>
        <w:rPr>
          <w:rFonts w:ascii="宋体" w:hAnsi="宋体" w:cs="Arial"/>
          <w:bCs/>
          <w:sz w:val="24"/>
        </w:rPr>
        <w:t>3、法律法规或监管部门对本基金合同所述投资比例、投资限制、组合限制、禁止行为等</w:t>
      </w:r>
      <w:proofErr w:type="gramStart"/>
      <w:r>
        <w:rPr>
          <w:rFonts w:ascii="宋体" w:hAnsi="宋体" w:cs="Arial"/>
          <w:bCs/>
          <w:sz w:val="24"/>
        </w:rPr>
        <w:t>作出</w:t>
      </w:r>
      <w:proofErr w:type="gramEnd"/>
      <w:r>
        <w:rPr>
          <w:rFonts w:ascii="宋体" w:hAnsi="宋体" w:cs="Arial"/>
          <w:bCs/>
          <w:sz w:val="24"/>
        </w:rPr>
        <w:t>强制性调整的，本基金应当按照法律法规或监管部门的规定执行。</w:t>
      </w:r>
    </w:p>
    <w:p w14:paraId="0800016A" w14:textId="459F0077" w:rsidR="00C52815" w:rsidRDefault="007144E2">
      <w:pPr>
        <w:spacing w:line="360" w:lineRule="auto"/>
        <w:ind w:firstLine="422"/>
        <w:rPr>
          <w:rFonts w:ascii="宋体" w:hAnsi="宋体" w:cs="Arial"/>
          <w:bCs/>
          <w:sz w:val="24"/>
        </w:rPr>
      </w:pPr>
      <w:bookmarkStart w:id="339" w:name="_Toc13819"/>
      <w:bookmarkEnd w:id="337"/>
      <w:bookmarkEnd w:id="338"/>
      <w:r>
        <w:rPr>
          <w:rFonts w:ascii="宋体" w:hAnsi="宋体" w:cs="Arial" w:hint="eastAsia"/>
          <w:bCs/>
          <w:sz w:val="24"/>
        </w:rPr>
        <w:t>八</w:t>
      </w:r>
      <w:r w:rsidR="005C44F4">
        <w:rPr>
          <w:rFonts w:ascii="宋体" w:hAnsi="宋体" w:cs="Arial"/>
          <w:bCs/>
          <w:sz w:val="24"/>
        </w:rPr>
        <w:t>、基金管理人代表基金行使相关权利的处理原则及方法</w:t>
      </w:r>
    </w:p>
    <w:p w14:paraId="0342EC9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1、基金管理人按照国家有关规定代表基金独立行使相关权利，保护基金份额持有人的利益；</w:t>
      </w:r>
    </w:p>
    <w:p w14:paraId="397C2A36" w14:textId="7D746F1F" w:rsidR="00C52815" w:rsidRDefault="005C44F4">
      <w:pPr>
        <w:spacing w:line="360" w:lineRule="auto"/>
        <w:ind w:firstLineChars="200" w:firstLine="480"/>
        <w:rPr>
          <w:rFonts w:ascii="宋体" w:hAnsi="宋体" w:cs="Arial"/>
          <w:bCs/>
          <w:sz w:val="24"/>
        </w:rPr>
      </w:pPr>
      <w:r>
        <w:rPr>
          <w:rFonts w:ascii="宋体" w:hAnsi="宋体" w:cs="Arial"/>
          <w:bCs/>
          <w:sz w:val="24"/>
        </w:rPr>
        <w:t>2、不谋求对上市公司的控股；</w:t>
      </w:r>
    </w:p>
    <w:p w14:paraId="6B6C380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3、有利于基金财产的安全与增值；</w:t>
      </w:r>
    </w:p>
    <w:p w14:paraId="31AE504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4、不通过关联交易为自身、雇员、授权代理人或任何存在利害关系的第三人牟取任何不当利益。</w:t>
      </w:r>
    </w:p>
    <w:p w14:paraId="074B0885" w14:textId="77777777" w:rsidR="00C52815" w:rsidRDefault="005C44F4">
      <w:pPr>
        <w:pStyle w:val="1"/>
        <w:spacing w:before="0" w:after="0"/>
        <w:jc w:val="center"/>
        <w:rPr>
          <w:rFonts w:hAnsi="宋体" w:cs="Arial"/>
          <w:color w:val="auto"/>
          <w:sz w:val="30"/>
        </w:rPr>
      </w:pPr>
      <w:bookmarkStart w:id="340" w:name="_Toc93226145"/>
      <w:bookmarkStart w:id="341" w:name="_Toc92662704"/>
      <w:bookmarkStart w:id="342" w:name="_Toc24474"/>
      <w:bookmarkStart w:id="343" w:name="_Toc29561"/>
      <w:bookmarkStart w:id="344" w:name="_Toc128310496"/>
      <w:bookmarkStart w:id="345" w:name="_Toc20782"/>
      <w:bookmarkStart w:id="346" w:name="_Toc20102"/>
      <w:bookmarkStart w:id="347" w:name="_Toc141703893"/>
      <w:bookmarkStart w:id="348" w:name="_Toc18000"/>
      <w:bookmarkStart w:id="349" w:name="_Toc26114"/>
      <w:bookmarkStart w:id="350" w:name="_Toc21642"/>
      <w:bookmarkStart w:id="351" w:name="_Toc139991743"/>
      <w:bookmarkStart w:id="352" w:name="_Toc3054"/>
      <w:bookmarkStart w:id="353" w:name="_Toc32030"/>
      <w:bookmarkStart w:id="354" w:name="_Toc31611"/>
      <w:r>
        <w:rPr>
          <w:rFonts w:hAnsi="宋体" w:cs="Arial"/>
          <w:sz w:val="30"/>
        </w:rPr>
        <w:br w:type="page"/>
      </w:r>
      <w:bookmarkStart w:id="355" w:name="_Toc24856"/>
      <w:bookmarkStart w:id="356" w:name="_Toc114406680"/>
      <w:bookmarkStart w:id="357" w:name="_Toc15703"/>
      <w:bookmarkStart w:id="358" w:name="_Toc21168"/>
      <w:bookmarkEnd w:id="335"/>
      <w:bookmarkEnd w:id="336"/>
      <w:r>
        <w:rPr>
          <w:rFonts w:hAnsi="宋体" w:cs="Arial"/>
          <w:color w:val="auto"/>
          <w:sz w:val="30"/>
        </w:rPr>
        <w:lastRenderedPageBreak/>
        <w:t>第十四部分  基金</w:t>
      </w:r>
      <w:bookmarkEnd w:id="340"/>
      <w:bookmarkEnd w:id="341"/>
      <w:r>
        <w:rPr>
          <w:rFonts w:hAnsi="宋体" w:cs="Arial"/>
          <w:color w:val="auto"/>
          <w:sz w:val="30"/>
        </w:rPr>
        <w:t>的财产</w:t>
      </w:r>
      <w:bookmarkEnd w:id="339"/>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64927D6D" w14:textId="77777777" w:rsidR="00C52815" w:rsidRDefault="00C52815">
      <w:pPr>
        <w:spacing w:line="360" w:lineRule="auto"/>
        <w:ind w:firstLineChars="200" w:firstLine="480"/>
        <w:rPr>
          <w:rFonts w:ascii="宋体" w:hAnsi="宋体" w:cs="Arial"/>
          <w:bCs/>
          <w:sz w:val="24"/>
        </w:rPr>
      </w:pPr>
    </w:p>
    <w:p w14:paraId="62E2B7C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一、基金资产总值</w:t>
      </w:r>
    </w:p>
    <w:p w14:paraId="2EB05C4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基金资产总值是指基金持有的各类有价证券、银行存款本息和基金应收款以及其他投资所形成的价值总和。</w:t>
      </w:r>
    </w:p>
    <w:p w14:paraId="3ED1D31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二、基金资产净值</w:t>
      </w:r>
    </w:p>
    <w:p w14:paraId="129CAA8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基金资产净值是指基金资产总值减去基金负债后的价值。</w:t>
      </w:r>
    </w:p>
    <w:p w14:paraId="1F477A6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三、基金财产的账户</w:t>
      </w:r>
    </w:p>
    <w:p w14:paraId="142E9396" w14:textId="77777777" w:rsidR="00C52815" w:rsidRDefault="005C44F4">
      <w:pPr>
        <w:spacing w:line="360" w:lineRule="auto"/>
        <w:ind w:firstLineChars="200" w:firstLine="480"/>
        <w:rPr>
          <w:rFonts w:ascii="宋体" w:hAnsi="宋体" w:cs="Arial"/>
        </w:rPr>
      </w:pPr>
      <w:r>
        <w:rPr>
          <w:rFonts w:ascii="宋体" w:hAnsi="宋体" w:cs="Arial"/>
          <w:bCs/>
          <w:sz w:val="24"/>
        </w:rPr>
        <w:t>基金托管人根据相关法律法规、规范性文件为本基金开立资金账户、证券账户以及投资所需的其他专用账户。开立的基金专用账户与基金管理人、基金托管人、基金服务机构和基金销售机构自有的财产账户以及其他基金财产账户相独立。</w:t>
      </w:r>
      <w:bookmarkStart w:id="359" w:name="_Hlt88841837"/>
      <w:bookmarkEnd w:id="359"/>
    </w:p>
    <w:p w14:paraId="59E0ABB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四、基金财产的保管和处分</w:t>
      </w:r>
      <w:bookmarkStart w:id="360" w:name="_Hlt88900062"/>
      <w:bookmarkEnd w:id="360"/>
    </w:p>
    <w:p w14:paraId="1B29987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财产独立于基金管理人、基金托管人、基金销售机构和基金服务机构的财产，并由基金托管人保管。基金管理人、基金托管人、基金销售机构和基金服务机构以其自有的财产承担其自身的法律责任，其债权人不得对本基金财产行使请求冻结、扣押或其他权利。除依法</w:t>
      </w:r>
      <w:proofErr w:type="gramStart"/>
      <w:r>
        <w:rPr>
          <w:rFonts w:ascii="宋体" w:hAnsi="宋体" w:cs="Arial"/>
          <w:bCs/>
          <w:sz w:val="24"/>
        </w:rPr>
        <w:t>律法规</w:t>
      </w:r>
      <w:proofErr w:type="gramEnd"/>
      <w:r>
        <w:rPr>
          <w:rFonts w:ascii="宋体" w:hAnsi="宋体" w:cs="Arial"/>
          <w:bCs/>
          <w:sz w:val="24"/>
        </w:rPr>
        <w:t>和《基金合同》的规定处分外，基金财产不得被处分。</w:t>
      </w:r>
    </w:p>
    <w:p w14:paraId="25CA5A5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cs="Arial"/>
          <w:bCs/>
          <w:sz w:val="24"/>
        </w:rPr>
        <w:t>抵销</w:t>
      </w:r>
      <w:proofErr w:type="gramEnd"/>
      <w:r>
        <w:rPr>
          <w:rFonts w:ascii="宋体" w:hAnsi="宋体" w:cs="Arial"/>
          <w:bCs/>
          <w:sz w:val="24"/>
        </w:rPr>
        <w:t>；基金管理人管理运作不同基金的基金财产所产生的债权债务不得相互</w:t>
      </w:r>
      <w:proofErr w:type="gramStart"/>
      <w:r>
        <w:rPr>
          <w:rFonts w:ascii="宋体" w:hAnsi="宋体" w:cs="Arial"/>
          <w:bCs/>
          <w:sz w:val="24"/>
        </w:rPr>
        <w:t>抵销</w:t>
      </w:r>
      <w:proofErr w:type="gramEnd"/>
      <w:r>
        <w:rPr>
          <w:rFonts w:ascii="宋体" w:hAnsi="宋体" w:cs="Arial"/>
          <w:bCs/>
          <w:sz w:val="24"/>
        </w:rPr>
        <w:t>。</w:t>
      </w:r>
      <w:r>
        <w:rPr>
          <w:rFonts w:ascii="宋体" w:hAnsi="宋体" w:cs="Arial"/>
          <w:sz w:val="24"/>
        </w:rPr>
        <w:t>非因基金财产本身承担的债务，不得对基金财产强制执行。</w:t>
      </w:r>
    </w:p>
    <w:p w14:paraId="5EF92215" w14:textId="77777777" w:rsidR="00C52815" w:rsidRDefault="005C44F4">
      <w:pPr>
        <w:pStyle w:val="1"/>
        <w:spacing w:before="0" w:after="0"/>
        <w:jc w:val="center"/>
        <w:rPr>
          <w:rFonts w:hAnsi="宋体" w:cs="Arial"/>
          <w:color w:val="auto"/>
          <w:sz w:val="30"/>
        </w:rPr>
      </w:pPr>
      <w:r>
        <w:rPr>
          <w:rFonts w:hAnsi="宋体" w:cs="Arial"/>
          <w:b w:val="0"/>
          <w:bCs/>
          <w:color w:val="auto"/>
          <w:kern w:val="44"/>
          <w:sz w:val="21"/>
        </w:rPr>
        <w:br w:type="page"/>
      </w:r>
      <w:bookmarkStart w:id="361" w:name="_Toc871"/>
      <w:bookmarkStart w:id="362" w:name="_Toc28801"/>
      <w:bookmarkStart w:id="363" w:name="_Toc141703894"/>
      <w:bookmarkStart w:id="364" w:name="_Toc31917"/>
      <w:bookmarkStart w:id="365" w:name="_Toc114406681"/>
      <w:bookmarkStart w:id="366" w:name="_Toc6791"/>
      <w:bookmarkStart w:id="367" w:name="_Toc14948"/>
      <w:bookmarkStart w:id="368" w:name="_Toc139991744"/>
      <w:bookmarkStart w:id="369" w:name="_Toc19714"/>
      <w:bookmarkStart w:id="370" w:name="_Toc7802"/>
      <w:bookmarkStart w:id="371" w:name="_Toc27832"/>
      <w:bookmarkStart w:id="372" w:name="_Toc17782"/>
      <w:bookmarkStart w:id="373" w:name="_Toc2623"/>
      <w:r>
        <w:rPr>
          <w:rFonts w:hAnsi="宋体" w:cs="Arial"/>
          <w:color w:val="auto"/>
          <w:sz w:val="30"/>
        </w:rPr>
        <w:lastRenderedPageBreak/>
        <w:t>第十五部分  基金资产估值</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169D7558" w14:textId="77777777" w:rsidR="00C52815" w:rsidRDefault="00C52815">
      <w:pPr>
        <w:spacing w:line="360" w:lineRule="auto"/>
        <w:ind w:firstLineChars="200" w:firstLine="480"/>
        <w:rPr>
          <w:rFonts w:ascii="宋体" w:hAnsi="宋体" w:cs="Arial"/>
          <w:bCs/>
          <w:sz w:val="24"/>
        </w:rPr>
      </w:pPr>
    </w:p>
    <w:p w14:paraId="31AB7228" w14:textId="77777777" w:rsidR="00C52815" w:rsidRDefault="005C44F4">
      <w:pPr>
        <w:spacing w:line="360" w:lineRule="auto"/>
        <w:ind w:firstLineChars="200" w:firstLine="480"/>
        <w:rPr>
          <w:rFonts w:ascii="宋体" w:hAnsi="宋体" w:cs="Arial"/>
          <w:bCs/>
          <w:sz w:val="24"/>
        </w:rPr>
      </w:pPr>
      <w:bookmarkStart w:id="374" w:name="_Toc32046"/>
      <w:bookmarkStart w:id="375" w:name="_Toc141703895"/>
      <w:bookmarkStart w:id="376" w:name="_Toc139991745"/>
      <w:r>
        <w:rPr>
          <w:rFonts w:ascii="宋体" w:hAnsi="宋体" w:cs="Arial"/>
          <w:bCs/>
          <w:sz w:val="24"/>
        </w:rPr>
        <w:t>一、估值日</w:t>
      </w:r>
    </w:p>
    <w:p w14:paraId="1947436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本基金的估值日为本基金相关的证券交易场所的交易日以及国家法律法规规定需要对外披露基金净值的</w:t>
      </w:r>
      <w:proofErr w:type="gramStart"/>
      <w:r>
        <w:rPr>
          <w:rFonts w:ascii="宋体" w:hAnsi="宋体" w:cs="Arial"/>
          <w:bCs/>
          <w:sz w:val="24"/>
        </w:rPr>
        <w:t>非交易</w:t>
      </w:r>
      <w:proofErr w:type="gramEnd"/>
      <w:r>
        <w:rPr>
          <w:rFonts w:ascii="宋体" w:hAnsi="宋体" w:cs="Arial"/>
          <w:bCs/>
          <w:sz w:val="24"/>
        </w:rPr>
        <w:t>日。</w:t>
      </w:r>
    </w:p>
    <w:p w14:paraId="5DF2465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二、估值对象</w:t>
      </w:r>
    </w:p>
    <w:p w14:paraId="328296E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基金所拥有的股票、债券和银行存款本息、应收款项、资产支持证券、股指期货合约、国债期货合约、股票期权合约、其它投资等资产及负债。</w:t>
      </w:r>
    </w:p>
    <w:p w14:paraId="56E5224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三、估值原则</w:t>
      </w:r>
    </w:p>
    <w:p w14:paraId="2F617E6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基金管理人在确定相关金融资产和金融负债的公允价值时，应符合《企业会计准则》、监管部门有关规定。</w:t>
      </w:r>
    </w:p>
    <w:p w14:paraId="4A3BD3A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43335A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B9F651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CF73B7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四、估值方法</w:t>
      </w:r>
    </w:p>
    <w:p w14:paraId="13B2138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1、证券交易所上市的有价证券的估值</w:t>
      </w:r>
    </w:p>
    <w:p w14:paraId="31A4428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（1）交易所上市的有价证券（包括股票等），以其估值日在证券交易所挂</w:t>
      </w:r>
      <w:r>
        <w:rPr>
          <w:rFonts w:ascii="宋体" w:hAnsi="宋体" w:cs="Arial"/>
          <w:bCs/>
          <w:sz w:val="24"/>
        </w:rPr>
        <w:lastRenderedPageBreak/>
        <w:t>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59984D3" w14:textId="7A2EDCB6" w:rsidR="00C52815" w:rsidRDefault="005C44F4">
      <w:pPr>
        <w:spacing w:line="360" w:lineRule="auto"/>
        <w:ind w:firstLineChars="200" w:firstLine="480"/>
        <w:rPr>
          <w:rFonts w:ascii="宋体" w:hAnsi="宋体" w:cs="Arial"/>
          <w:bCs/>
          <w:sz w:val="24"/>
        </w:rPr>
      </w:pPr>
      <w:r>
        <w:rPr>
          <w:rFonts w:ascii="宋体" w:hAnsi="宋体" w:cs="Arial"/>
          <w:bCs/>
          <w:sz w:val="24"/>
        </w:rPr>
        <w:t>（2）交易所上市交易或挂牌转让的不含</w:t>
      </w:r>
      <w:proofErr w:type="gramStart"/>
      <w:r>
        <w:rPr>
          <w:rFonts w:ascii="宋体" w:hAnsi="宋体" w:cs="Arial"/>
          <w:bCs/>
          <w:sz w:val="24"/>
        </w:rPr>
        <w:t>权固定</w:t>
      </w:r>
      <w:proofErr w:type="gramEnd"/>
      <w:r>
        <w:rPr>
          <w:rFonts w:ascii="宋体" w:hAnsi="宋体" w:cs="Arial"/>
          <w:bCs/>
          <w:sz w:val="24"/>
        </w:rPr>
        <w:t>收益品种，选取估值日</w:t>
      </w:r>
      <w:r w:rsidR="00BA26FF">
        <w:rPr>
          <w:rFonts w:ascii="宋体" w:hAnsi="宋体" w:cs="Arial"/>
          <w:bCs/>
          <w:sz w:val="24"/>
        </w:rPr>
        <w:t>第三方估值基准服务机构</w:t>
      </w:r>
      <w:r>
        <w:rPr>
          <w:rFonts w:ascii="宋体" w:hAnsi="宋体" w:cs="Arial"/>
          <w:bCs/>
          <w:sz w:val="24"/>
        </w:rPr>
        <w:t>提供的相应品种当日的估值</w:t>
      </w:r>
      <w:r w:rsidR="00D75E91">
        <w:rPr>
          <w:rFonts w:ascii="宋体" w:hAnsi="宋体" w:cs="Arial" w:hint="eastAsia"/>
          <w:bCs/>
          <w:sz w:val="24"/>
        </w:rPr>
        <w:t>全</w:t>
      </w:r>
      <w:r>
        <w:rPr>
          <w:rFonts w:ascii="宋体" w:hAnsi="宋体" w:cs="Arial"/>
          <w:bCs/>
          <w:sz w:val="24"/>
        </w:rPr>
        <w:t>价进行估值；</w:t>
      </w:r>
    </w:p>
    <w:p w14:paraId="6D893A36" w14:textId="72D632FE" w:rsidR="00C52815" w:rsidRDefault="005C44F4">
      <w:pPr>
        <w:spacing w:line="360" w:lineRule="auto"/>
        <w:ind w:firstLineChars="200" w:firstLine="480"/>
        <w:rPr>
          <w:rFonts w:ascii="宋体" w:hAnsi="宋体" w:cs="Arial"/>
          <w:bCs/>
          <w:sz w:val="24"/>
        </w:rPr>
      </w:pPr>
      <w:r>
        <w:rPr>
          <w:rFonts w:ascii="宋体" w:hAnsi="宋体" w:cs="Arial"/>
          <w:bCs/>
          <w:sz w:val="24"/>
        </w:rPr>
        <w:t>（3）交易所上市交易或挂牌转让的含</w:t>
      </w:r>
      <w:proofErr w:type="gramStart"/>
      <w:r>
        <w:rPr>
          <w:rFonts w:ascii="宋体" w:hAnsi="宋体" w:cs="Arial"/>
          <w:bCs/>
          <w:sz w:val="24"/>
        </w:rPr>
        <w:t>权固定</w:t>
      </w:r>
      <w:proofErr w:type="gramEnd"/>
      <w:r>
        <w:rPr>
          <w:rFonts w:ascii="宋体" w:hAnsi="宋体" w:cs="Arial"/>
          <w:bCs/>
          <w:sz w:val="24"/>
        </w:rPr>
        <w:t>收益品种，选取估值日</w:t>
      </w:r>
      <w:r w:rsidR="00BA26FF">
        <w:rPr>
          <w:rFonts w:ascii="宋体" w:hAnsi="宋体" w:cs="Arial"/>
          <w:bCs/>
          <w:sz w:val="24"/>
        </w:rPr>
        <w:t>第三方估值基准服务机构</w:t>
      </w:r>
      <w:r>
        <w:rPr>
          <w:rFonts w:ascii="宋体" w:hAnsi="宋体" w:cs="Arial"/>
          <w:bCs/>
          <w:sz w:val="24"/>
        </w:rPr>
        <w:t>提供的相应品种当日的唯一估值</w:t>
      </w:r>
      <w:r w:rsidR="00D75E91">
        <w:rPr>
          <w:rFonts w:ascii="宋体" w:hAnsi="宋体" w:cs="Arial" w:hint="eastAsia"/>
          <w:bCs/>
          <w:sz w:val="24"/>
        </w:rPr>
        <w:t>全</w:t>
      </w:r>
      <w:r>
        <w:rPr>
          <w:rFonts w:ascii="宋体" w:hAnsi="宋体" w:cs="Arial"/>
          <w:bCs/>
          <w:sz w:val="24"/>
        </w:rPr>
        <w:t>价或推荐估值</w:t>
      </w:r>
      <w:r w:rsidR="00D75E91">
        <w:rPr>
          <w:rFonts w:ascii="宋体" w:hAnsi="宋体" w:cs="Arial" w:hint="eastAsia"/>
          <w:bCs/>
          <w:sz w:val="24"/>
        </w:rPr>
        <w:t>全</w:t>
      </w:r>
      <w:r>
        <w:rPr>
          <w:rFonts w:ascii="宋体" w:hAnsi="宋体" w:cs="Arial"/>
          <w:bCs/>
          <w:sz w:val="24"/>
        </w:rPr>
        <w:t>价进行估值；</w:t>
      </w:r>
    </w:p>
    <w:p w14:paraId="5B75D384" w14:textId="7FE1A314" w:rsidR="00ED307C" w:rsidRDefault="005C44F4">
      <w:pPr>
        <w:spacing w:line="360" w:lineRule="auto"/>
        <w:ind w:firstLineChars="200" w:firstLine="480"/>
        <w:rPr>
          <w:bCs/>
          <w:sz w:val="24"/>
        </w:rPr>
      </w:pPr>
      <w:r>
        <w:rPr>
          <w:rFonts w:ascii="宋体" w:hAnsi="宋体" w:cs="Arial"/>
          <w:bCs/>
          <w:sz w:val="24"/>
        </w:rPr>
        <w:t>（4）</w:t>
      </w:r>
      <w:r w:rsidR="00BA26FF" w:rsidRPr="00503846">
        <w:rPr>
          <w:rFonts w:hint="eastAsia"/>
          <w:bCs/>
          <w:sz w:val="24"/>
        </w:rPr>
        <w:t>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r w:rsidR="00ED307C">
        <w:rPr>
          <w:rFonts w:hint="eastAsia"/>
          <w:bCs/>
          <w:sz w:val="24"/>
        </w:rPr>
        <w:t>；</w:t>
      </w:r>
    </w:p>
    <w:p w14:paraId="448B2639" w14:textId="0E3A2BE8" w:rsidR="00C52815" w:rsidRDefault="00ED307C">
      <w:pPr>
        <w:spacing w:line="360" w:lineRule="auto"/>
        <w:ind w:firstLineChars="200" w:firstLine="480"/>
        <w:rPr>
          <w:bCs/>
          <w:sz w:val="24"/>
        </w:rPr>
      </w:pPr>
      <w:r w:rsidRPr="00ED307C">
        <w:rPr>
          <w:rFonts w:hint="eastAsia"/>
          <w:bCs/>
          <w:sz w:val="24"/>
        </w:rPr>
        <w:t>（</w:t>
      </w:r>
      <w:r w:rsidRPr="00ED307C">
        <w:rPr>
          <w:rFonts w:hint="eastAsia"/>
          <w:bCs/>
          <w:sz w:val="24"/>
        </w:rPr>
        <w:t>5</w:t>
      </w:r>
      <w:r w:rsidRPr="00ED307C">
        <w:rPr>
          <w:rFonts w:hint="eastAsia"/>
          <w:bCs/>
          <w:sz w:val="24"/>
        </w:rPr>
        <w:t>）交易所上市不存在活跃市场的有价证券，采用估值技术确定公允价值。</w:t>
      </w:r>
    </w:p>
    <w:p w14:paraId="059E7CD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2、处于未上市期间的有价证券应区分如下情况处理：</w:t>
      </w:r>
    </w:p>
    <w:p w14:paraId="2C28DFA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（1）送股、转增股、配股和公开增发的新股，按估值日在证券交易所挂牌的同一股票的估值方法估值；该日无交易的，以最近一日的市价（收盘价）估值；</w:t>
      </w:r>
    </w:p>
    <w:p w14:paraId="37183048" w14:textId="24109CA7" w:rsidR="00C52815" w:rsidRDefault="005C44F4">
      <w:pPr>
        <w:spacing w:line="360" w:lineRule="auto"/>
        <w:ind w:firstLineChars="200" w:firstLine="480"/>
        <w:rPr>
          <w:rFonts w:ascii="宋体" w:hAnsi="宋体" w:cs="Arial"/>
          <w:bCs/>
          <w:sz w:val="24"/>
        </w:rPr>
      </w:pPr>
      <w:r>
        <w:rPr>
          <w:rFonts w:ascii="宋体" w:hAnsi="宋体" w:cs="Arial"/>
          <w:bCs/>
          <w:sz w:val="24"/>
        </w:rPr>
        <w:t>（2）首次公开发行未上市的股票，采用估值技术确定公允价值；</w:t>
      </w:r>
    </w:p>
    <w:p w14:paraId="3600F93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cs="Arial"/>
          <w:bCs/>
          <w:sz w:val="24"/>
        </w:rPr>
        <w:t>券</w:t>
      </w:r>
      <w:proofErr w:type="gramEnd"/>
      <w:r>
        <w:rPr>
          <w:rFonts w:ascii="宋体" w:hAnsi="宋体" w:cs="Arial"/>
          <w:bCs/>
          <w:sz w:val="24"/>
        </w:rPr>
        <w:t>等流通受限股票，按监管机构或行业协会有关规定确定公允价值。</w:t>
      </w:r>
    </w:p>
    <w:p w14:paraId="5E66BD7A" w14:textId="6CD6D316" w:rsidR="00C52815" w:rsidRDefault="005C44F4">
      <w:pPr>
        <w:spacing w:line="360" w:lineRule="auto"/>
        <w:ind w:firstLineChars="200" w:firstLine="480"/>
        <w:rPr>
          <w:rFonts w:ascii="宋体" w:hAnsi="宋体" w:cs="Arial"/>
          <w:bCs/>
          <w:sz w:val="24"/>
        </w:rPr>
      </w:pPr>
      <w:r>
        <w:rPr>
          <w:rFonts w:ascii="宋体" w:hAnsi="宋体" w:cs="Arial"/>
          <w:bCs/>
          <w:sz w:val="24"/>
        </w:rPr>
        <w:t>3、对全国银行间市场上不含权的固定收益品种，按照</w:t>
      </w:r>
      <w:r w:rsidR="00BA26FF">
        <w:rPr>
          <w:rFonts w:ascii="宋体" w:hAnsi="宋体" w:cs="Arial"/>
          <w:bCs/>
          <w:sz w:val="24"/>
        </w:rPr>
        <w:t>第三方估值基准服务机构</w:t>
      </w:r>
      <w:r>
        <w:rPr>
          <w:rFonts w:ascii="宋体" w:hAnsi="宋体" w:cs="Arial"/>
          <w:bCs/>
          <w:sz w:val="24"/>
        </w:rPr>
        <w:t>提供的相应品种当日的估值</w:t>
      </w:r>
      <w:r w:rsidR="00D75E91">
        <w:rPr>
          <w:rFonts w:ascii="宋体" w:hAnsi="宋体" w:cs="Arial" w:hint="eastAsia"/>
          <w:bCs/>
          <w:sz w:val="24"/>
        </w:rPr>
        <w:t>全</w:t>
      </w:r>
      <w:r>
        <w:rPr>
          <w:rFonts w:ascii="宋体" w:hAnsi="宋体" w:cs="Arial"/>
          <w:bCs/>
          <w:sz w:val="24"/>
        </w:rPr>
        <w:t>价估值。对银行间市场上含权的固定收益品种，按照</w:t>
      </w:r>
      <w:r w:rsidR="00BA26FF">
        <w:rPr>
          <w:rFonts w:ascii="宋体" w:hAnsi="宋体" w:cs="Arial"/>
          <w:bCs/>
          <w:sz w:val="24"/>
        </w:rPr>
        <w:t>第三方估值基准服务机构</w:t>
      </w:r>
      <w:r>
        <w:rPr>
          <w:rFonts w:ascii="宋体" w:hAnsi="宋体" w:cs="Arial"/>
          <w:bCs/>
          <w:sz w:val="24"/>
        </w:rPr>
        <w:t>提供的相应品种当日的唯一估值</w:t>
      </w:r>
      <w:r w:rsidR="00D75E91">
        <w:rPr>
          <w:rFonts w:ascii="宋体" w:hAnsi="宋体" w:cs="Arial" w:hint="eastAsia"/>
          <w:bCs/>
          <w:sz w:val="24"/>
        </w:rPr>
        <w:t>全</w:t>
      </w:r>
      <w:r>
        <w:rPr>
          <w:rFonts w:ascii="宋体" w:hAnsi="宋体" w:cs="Arial"/>
          <w:bCs/>
          <w:sz w:val="24"/>
        </w:rPr>
        <w:t>价或推荐估值</w:t>
      </w:r>
      <w:r w:rsidR="00D75E91">
        <w:rPr>
          <w:rFonts w:ascii="宋体" w:hAnsi="宋体" w:cs="Arial" w:hint="eastAsia"/>
          <w:bCs/>
          <w:sz w:val="24"/>
        </w:rPr>
        <w:t>全</w:t>
      </w:r>
      <w:r>
        <w:rPr>
          <w:rFonts w:ascii="宋体" w:hAnsi="宋体" w:cs="Arial"/>
          <w:bCs/>
          <w:sz w:val="24"/>
        </w:rPr>
        <w:t>价估值。对银行间市场未上市，且</w:t>
      </w:r>
      <w:r w:rsidR="00BA26FF">
        <w:rPr>
          <w:rFonts w:ascii="宋体" w:hAnsi="宋体" w:cs="Arial"/>
          <w:bCs/>
          <w:sz w:val="24"/>
        </w:rPr>
        <w:t>第三方估值基准服务机构</w:t>
      </w:r>
      <w:r>
        <w:rPr>
          <w:rFonts w:ascii="宋体" w:hAnsi="宋体" w:cs="Arial"/>
          <w:bCs/>
          <w:sz w:val="24"/>
        </w:rPr>
        <w:t>未提供估值价格的债券，</w:t>
      </w:r>
      <w:r>
        <w:rPr>
          <w:rFonts w:ascii="宋体" w:hAnsi="宋体" w:cs="Arial" w:hint="eastAsia"/>
          <w:bCs/>
          <w:sz w:val="24"/>
        </w:rPr>
        <w:t>应采用估值技术确定其公允价值</w:t>
      </w:r>
      <w:r>
        <w:rPr>
          <w:rFonts w:ascii="宋体" w:hAnsi="宋体" w:cs="Arial"/>
          <w:bCs/>
          <w:sz w:val="24"/>
        </w:rPr>
        <w:t>。</w:t>
      </w:r>
    </w:p>
    <w:p w14:paraId="538F0095" w14:textId="77777777" w:rsidR="00CD25B0" w:rsidRPr="00CD25B0" w:rsidRDefault="00CD25B0" w:rsidP="00CD25B0">
      <w:pPr>
        <w:spacing w:line="360" w:lineRule="auto"/>
        <w:ind w:firstLineChars="200" w:firstLine="480"/>
        <w:rPr>
          <w:rFonts w:ascii="宋体" w:hAnsi="宋体" w:cs="Arial"/>
          <w:bCs/>
          <w:sz w:val="24"/>
        </w:rPr>
      </w:pPr>
      <w:r w:rsidRPr="00CD25B0">
        <w:rPr>
          <w:rFonts w:ascii="宋体" w:hAnsi="宋体" w:cs="Arial" w:hint="eastAsia"/>
          <w:bCs/>
          <w:sz w:val="24"/>
        </w:rPr>
        <w:t>4、对于含投资人回售权的固定收益品种，行使回售权的，在回售登记日至</w:t>
      </w:r>
      <w:r w:rsidRPr="00CD25B0">
        <w:rPr>
          <w:rFonts w:ascii="宋体" w:hAnsi="宋体" w:cs="Arial" w:hint="eastAsia"/>
          <w:bCs/>
          <w:sz w:val="24"/>
        </w:rPr>
        <w:lastRenderedPageBreak/>
        <w:t>实际收款日期间采用第三方估值基准服务机构提供的相应品种的唯一估值全价或推荐估值全价估值。回售登记期截止日（含当日）后未行使回售权的按照长待偿期所对应的价格进行估值。</w:t>
      </w:r>
    </w:p>
    <w:p w14:paraId="3D2E5C22" w14:textId="79A88E3E" w:rsidR="00261B1A" w:rsidRPr="00261B1A" w:rsidRDefault="00CD25B0" w:rsidP="00CD25B0">
      <w:pPr>
        <w:spacing w:line="360" w:lineRule="auto"/>
        <w:ind w:firstLineChars="200" w:firstLine="480"/>
        <w:rPr>
          <w:rFonts w:ascii="宋体" w:hAnsi="宋体" w:cs="Arial"/>
          <w:bCs/>
          <w:sz w:val="24"/>
        </w:rPr>
      </w:pPr>
      <w:r w:rsidRPr="00CD25B0">
        <w:rPr>
          <w:rFonts w:ascii="宋体" w:hAnsi="宋体" w:cs="Arial" w:hint="eastAsia"/>
          <w:bCs/>
          <w:sz w:val="24"/>
        </w:rPr>
        <w:t>5、对于未上市或未挂牌转让且不存在活跃市场的固定收益品种，应采用在当前情况下适用并且有足够可利用数据和其他信息支持的估值技术确定其公允价值。</w:t>
      </w:r>
    </w:p>
    <w:p w14:paraId="07D6037D" w14:textId="62D7BAEF" w:rsidR="00BF4C68" w:rsidRDefault="00BF4C68" w:rsidP="00CD25B0">
      <w:pPr>
        <w:spacing w:line="360" w:lineRule="auto"/>
        <w:ind w:firstLineChars="200" w:firstLine="480"/>
        <w:rPr>
          <w:rFonts w:ascii="宋体" w:hAnsi="宋体" w:cs="Arial"/>
          <w:bCs/>
          <w:sz w:val="24"/>
        </w:rPr>
      </w:pPr>
      <w:r w:rsidRPr="0093140B">
        <w:rPr>
          <w:rFonts w:ascii="宋体" w:hAnsi="宋体" w:cs="Arial"/>
          <w:bCs/>
          <w:sz w:val="24"/>
        </w:rPr>
        <w:t>6、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267FD820" w14:textId="60245BC9" w:rsidR="00C52815" w:rsidRDefault="007825A9">
      <w:pPr>
        <w:spacing w:line="360" w:lineRule="auto"/>
        <w:ind w:firstLineChars="200" w:firstLine="480"/>
        <w:rPr>
          <w:rFonts w:ascii="宋体" w:hAnsi="宋体" w:cs="Arial"/>
          <w:bCs/>
          <w:sz w:val="24"/>
        </w:rPr>
      </w:pPr>
      <w:r>
        <w:rPr>
          <w:rFonts w:ascii="宋体" w:hAnsi="宋体" w:cs="Arial"/>
          <w:bCs/>
          <w:sz w:val="24"/>
        </w:rPr>
        <w:t>7</w:t>
      </w:r>
      <w:r w:rsidR="005C44F4">
        <w:rPr>
          <w:rFonts w:ascii="宋体" w:hAnsi="宋体" w:cs="Arial"/>
          <w:bCs/>
          <w:sz w:val="24"/>
        </w:rPr>
        <w:t>、同一证券同时在两个或两个以上市场交易的，按证券所处的市场分别估值。</w:t>
      </w:r>
    </w:p>
    <w:p w14:paraId="1192FF32" w14:textId="112A8F7D" w:rsidR="00C52815" w:rsidRDefault="007825A9">
      <w:pPr>
        <w:spacing w:line="360" w:lineRule="auto"/>
        <w:ind w:firstLineChars="200" w:firstLine="480"/>
        <w:rPr>
          <w:rFonts w:ascii="宋体" w:hAnsi="宋体" w:cs="Arial"/>
          <w:bCs/>
          <w:sz w:val="24"/>
        </w:rPr>
      </w:pPr>
      <w:r>
        <w:rPr>
          <w:rFonts w:ascii="宋体" w:hAnsi="宋体" w:cs="Arial"/>
          <w:bCs/>
          <w:sz w:val="24"/>
        </w:rPr>
        <w:t>8</w:t>
      </w:r>
      <w:r w:rsidR="005C44F4">
        <w:rPr>
          <w:rFonts w:ascii="宋体" w:hAnsi="宋体" w:cs="Arial"/>
          <w:bCs/>
          <w:sz w:val="24"/>
        </w:rPr>
        <w:t>、本基金投资股指期货、国债期货合约，一般以估值当日结算价进行估值，估值当日无结算价的，且最近交易日后经济环境未发生重大变化的，采用最近交易日结算价估值。</w:t>
      </w:r>
    </w:p>
    <w:p w14:paraId="4F54E426" w14:textId="77777777" w:rsidR="00C52815" w:rsidRDefault="005C44F4" w:rsidP="0093140B">
      <w:pPr>
        <w:spacing w:line="360" w:lineRule="auto"/>
        <w:ind w:firstLineChars="200" w:firstLine="480"/>
        <w:rPr>
          <w:rFonts w:ascii="宋体" w:hAnsi="宋体" w:cs="Arial"/>
          <w:bCs/>
          <w:sz w:val="24"/>
        </w:rPr>
      </w:pPr>
      <w:r>
        <w:rPr>
          <w:rFonts w:ascii="宋体" w:hAnsi="宋体" w:cs="Arial"/>
          <w:bCs/>
          <w:sz w:val="24"/>
        </w:rPr>
        <w:t>本基金投资股票期权，根据相关法律法规以及监管部门的规定估值。</w:t>
      </w:r>
    </w:p>
    <w:p w14:paraId="06C16E7C" w14:textId="29D8DBFA" w:rsidR="00C52815" w:rsidRDefault="007825A9">
      <w:pPr>
        <w:spacing w:line="360" w:lineRule="auto"/>
        <w:ind w:firstLineChars="200" w:firstLine="480"/>
        <w:rPr>
          <w:rFonts w:ascii="宋体" w:hAnsi="宋体" w:cs="Arial"/>
          <w:bCs/>
          <w:sz w:val="24"/>
        </w:rPr>
      </w:pPr>
      <w:r>
        <w:rPr>
          <w:rFonts w:ascii="宋体" w:hAnsi="宋体" w:cs="Arial"/>
          <w:bCs/>
          <w:sz w:val="24"/>
        </w:rPr>
        <w:t>9</w:t>
      </w:r>
      <w:r w:rsidR="005C44F4">
        <w:rPr>
          <w:rFonts w:ascii="宋体" w:hAnsi="宋体" w:cs="Arial"/>
          <w:bCs/>
          <w:sz w:val="24"/>
        </w:rPr>
        <w:t>、本基金参与融资和转融通证券出借业务，按照相关法律法规和行业协会的相关规定进行估值。</w:t>
      </w:r>
    </w:p>
    <w:p w14:paraId="45B83502" w14:textId="4D59D783" w:rsidR="00C52815" w:rsidRDefault="007825A9">
      <w:pPr>
        <w:spacing w:line="360" w:lineRule="auto"/>
        <w:ind w:firstLineChars="200" w:firstLine="480"/>
        <w:rPr>
          <w:rFonts w:ascii="宋体" w:hAnsi="宋体" w:cs="Arial"/>
          <w:bCs/>
          <w:sz w:val="24"/>
        </w:rPr>
      </w:pPr>
      <w:r>
        <w:rPr>
          <w:rFonts w:ascii="宋体" w:hAnsi="宋体" w:cs="Arial"/>
          <w:bCs/>
          <w:sz w:val="24"/>
        </w:rPr>
        <w:t>10</w:t>
      </w:r>
      <w:r w:rsidR="005C44F4">
        <w:rPr>
          <w:rFonts w:ascii="宋体" w:hAnsi="宋体" w:cs="Arial"/>
          <w:bCs/>
          <w:sz w:val="24"/>
        </w:rPr>
        <w:t>、本基金投资同业存单，按估值日</w:t>
      </w:r>
      <w:r w:rsidR="00BA26FF">
        <w:rPr>
          <w:rFonts w:ascii="宋体" w:hAnsi="宋体" w:cs="Arial"/>
          <w:bCs/>
          <w:sz w:val="24"/>
        </w:rPr>
        <w:t>第三方估值基准服务机构</w:t>
      </w:r>
      <w:r w:rsidR="005C44F4">
        <w:rPr>
          <w:rFonts w:ascii="宋体" w:hAnsi="宋体" w:cs="Arial"/>
          <w:bCs/>
          <w:sz w:val="24"/>
        </w:rPr>
        <w:t>提供的估值</w:t>
      </w:r>
      <w:r w:rsidR="00D75E91">
        <w:rPr>
          <w:rFonts w:ascii="宋体" w:hAnsi="宋体" w:cs="Arial" w:hint="eastAsia"/>
          <w:bCs/>
          <w:sz w:val="24"/>
        </w:rPr>
        <w:t>全</w:t>
      </w:r>
      <w:r w:rsidR="005C44F4">
        <w:rPr>
          <w:rFonts w:ascii="宋体" w:hAnsi="宋体" w:cs="Arial"/>
          <w:bCs/>
          <w:sz w:val="24"/>
        </w:rPr>
        <w:t>价估值；选定的</w:t>
      </w:r>
      <w:r w:rsidR="00BA26FF">
        <w:rPr>
          <w:rFonts w:ascii="宋体" w:hAnsi="宋体" w:cs="Arial"/>
          <w:bCs/>
          <w:sz w:val="24"/>
        </w:rPr>
        <w:t>第三方估值基准服务机构</w:t>
      </w:r>
      <w:r w:rsidR="005C44F4">
        <w:rPr>
          <w:rFonts w:ascii="宋体" w:hAnsi="宋体" w:cs="Arial"/>
          <w:bCs/>
          <w:sz w:val="24"/>
        </w:rPr>
        <w:t>未提供估值价格的，</w:t>
      </w:r>
      <w:r w:rsidR="005C44F4">
        <w:rPr>
          <w:rFonts w:ascii="宋体" w:hAnsi="宋体" w:cs="Arial" w:hint="eastAsia"/>
          <w:bCs/>
          <w:sz w:val="24"/>
        </w:rPr>
        <w:t>应采用估值技术确定其公允价值</w:t>
      </w:r>
      <w:r w:rsidR="005C44F4">
        <w:rPr>
          <w:rFonts w:ascii="宋体" w:hAnsi="宋体" w:cs="Arial"/>
          <w:bCs/>
          <w:sz w:val="24"/>
        </w:rPr>
        <w:t>。</w:t>
      </w:r>
    </w:p>
    <w:p w14:paraId="46D65CC7" w14:textId="5265D676" w:rsidR="00C52815" w:rsidRDefault="007825A9">
      <w:pPr>
        <w:spacing w:line="360" w:lineRule="auto"/>
        <w:ind w:firstLineChars="200" w:firstLine="480"/>
        <w:rPr>
          <w:rFonts w:ascii="宋体" w:hAnsi="宋体" w:cs="Arial"/>
          <w:bCs/>
          <w:sz w:val="24"/>
        </w:rPr>
      </w:pPr>
      <w:r>
        <w:rPr>
          <w:rFonts w:ascii="宋体" w:hAnsi="宋体" w:cs="Arial"/>
          <w:bCs/>
          <w:sz w:val="24"/>
        </w:rPr>
        <w:t>11</w:t>
      </w:r>
      <w:r w:rsidR="005C44F4">
        <w:rPr>
          <w:rFonts w:ascii="宋体" w:hAnsi="宋体" w:cs="Arial"/>
          <w:bCs/>
          <w:sz w:val="24"/>
        </w:rPr>
        <w:t>、本基金投资存托凭证的估值核算，依照国内依法发行上市的股票执行。</w:t>
      </w:r>
    </w:p>
    <w:p w14:paraId="28B209F9" w14:textId="52AA6706" w:rsidR="00C52815" w:rsidRDefault="000522A1" w:rsidP="00EF68C6">
      <w:pPr>
        <w:spacing w:line="360" w:lineRule="auto"/>
        <w:ind w:firstLineChars="200" w:firstLine="480"/>
        <w:rPr>
          <w:rFonts w:ascii="宋体" w:hAnsi="宋体"/>
          <w:bCs/>
          <w:sz w:val="24"/>
        </w:rPr>
      </w:pPr>
      <w:r w:rsidRPr="000522A1">
        <w:rPr>
          <w:rFonts w:ascii="宋体" w:hAnsi="宋体" w:cs="Arial" w:hint="eastAsia"/>
          <w:bCs/>
          <w:sz w:val="24"/>
        </w:rPr>
        <w:t>12、</w:t>
      </w:r>
      <w:r w:rsidR="005C44F4">
        <w:rPr>
          <w:rFonts w:ascii="宋体" w:hAnsi="宋体" w:hint="eastAsia"/>
          <w:bCs/>
          <w:sz w:val="24"/>
        </w:rPr>
        <w:t>估值计算中涉及港币对人民币汇率的，将依据下列信息提供机构所提供的汇率为基准：当日中国人民银行公布的人民币与港币的中间价。</w:t>
      </w:r>
    </w:p>
    <w:p w14:paraId="51355A77" w14:textId="77777777" w:rsidR="00C52815" w:rsidRDefault="005C44F4">
      <w:pPr>
        <w:spacing w:line="360" w:lineRule="auto"/>
        <w:ind w:firstLineChars="200" w:firstLine="480"/>
        <w:rPr>
          <w:rFonts w:ascii="宋体" w:hAnsi="宋体"/>
          <w:bCs/>
          <w:sz w:val="24"/>
        </w:rPr>
      </w:pPr>
      <w:r>
        <w:rPr>
          <w:rFonts w:ascii="宋体" w:hAnsi="宋体"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w:t>
      </w:r>
      <w:r>
        <w:rPr>
          <w:rFonts w:ascii="宋体" w:hAnsi="宋体" w:hint="eastAsia"/>
          <w:bCs/>
          <w:sz w:val="24"/>
        </w:rPr>
        <w:lastRenderedPageBreak/>
        <w:t>相应的估值调整。</w:t>
      </w:r>
    </w:p>
    <w:p w14:paraId="06DC6C3D" w14:textId="2E530A37" w:rsidR="00C52815" w:rsidRDefault="005C44F4">
      <w:pPr>
        <w:spacing w:line="360" w:lineRule="auto"/>
        <w:ind w:firstLineChars="200" w:firstLine="480"/>
        <w:rPr>
          <w:rFonts w:ascii="宋体" w:hAnsi="宋体" w:cs="Arial"/>
          <w:bCs/>
          <w:sz w:val="24"/>
        </w:rPr>
      </w:pPr>
      <w:r>
        <w:rPr>
          <w:rFonts w:ascii="宋体" w:hAnsi="宋体" w:cs="Arial"/>
          <w:bCs/>
          <w:sz w:val="24"/>
        </w:rPr>
        <w:t>1</w:t>
      </w:r>
      <w:r w:rsidR="00EF68C6">
        <w:rPr>
          <w:rFonts w:ascii="宋体" w:hAnsi="宋体" w:cs="Arial"/>
          <w:bCs/>
          <w:sz w:val="24"/>
        </w:rPr>
        <w:t>3</w:t>
      </w:r>
      <w:r>
        <w:rPr>
          <w:rFonts w:ascii="宋体" w:hAnsi="宋体" w:cs="Arial" w:hint="eastAsia"/>
          <w:bCs/>
          <w:sz w:val="24"/>
        </w:rPr>
        <w:t>、</w:t>
      </w:r>
      <w:r w:rsidR="00ED307C" w:rsidRPr="00ED307C">
        <w:rPr>
          <w:rFonts w:ascii="宋体" w:hAnsi="宋体" w:cs="Arial" w:hint="eastAsia"/>
          <w:bCs/>
          <w:sz w:val="24"/>
        </w:rPr>
        <w:t>本基金可以采用第三方估值机构按照上述公允价值确定原则提供的估值价格数据。</w:t>
      </w:r>
      <w:r>
        <w:rPr>
          <w:rFonts w:ascii="宋体" w:hAnsi="宋体" w:cs="Arial"/>
          <w:bCs/>
          <w:sz w:val="24"/>
        </w:rPr>
        <w:t>如有确凿证据表明按上述方法进行估值不能客观反映其公允价值的，基金管理人可根据具体情况与基金托管人商定后，按最能反映公允价值的价格估值。</w:t>
      </w:r>
    </w:p>
    <w:p w14:paraId="51310DF1" w14:textId="07625C01" w:rsidR="00C52815" w:rsidRDefault="005C44F4">
      <w:pPr>
        <w:spacing w:line="360" w:lineRule="auto"/>
        <w:ind w:firstLineChars="200" w:firstLine="480"/>
        <w:rPr>
          <w:rFonts w:ascii="宋体" w:hAnsi="宋体" w:cs="Arial"/>
          <w:bCs/>
          <w:sz w:val="24"/>
        </w:rPr>
      </w:pPr>
      <w:r>
        <w:rPr>
          <w:rFonts w:ascii="宋体" w:hAnsi="宋体" w:cs="Arial"/>
          <w:bCs/>
          <w:sz w:val="24"/>
        </w:rPr>
        <w:t>1</w:t>
      </w:r>
      <w:r w:rsidR="00EF68C6">
        <w:rPr>
          <w:rFonts w:ascii="宋体" w:hAnsi="宋体" w:cs="Arial"/>
          <w:bCs/>
          <w:sz w:val="24"/>
        </w:rPr>
        <w:t>4</w:t>
      </w:r>
      <w:r>
        <w:rPr>
          <w:rFonts w:ascii="宋体" w:hAnsi="宋体" w:cs="Arial"/>
          <w:bCs/>
          <w:sz w:val="24"/>
        </w:rPr>
        <w:t>、相关法律法规以及监管部门有强制规定的，从其规定。如有新增事项，按国家最新规定估值。</w:t>
      </w:r>
    </w:p>
    <w:p w14:paraId="61F0AFB7" w14:textId="77777777" w:rsidR="00C52815" w:rsidRDefault="005C44F4">
      <w:pPr>
        <w:spacing w:line="360" w:lineRule="auto"/>
        <w:ind w:firstLineChars="200" w:firstLine="480"/>
        <w:rPr>
          <w:rStyle w:val="read"/>
          <w:rFonts w:ascii="宋体" w:hAnsi="宋体" w:cs="Arial"/>
          <w:bCs/>
          <w:sz w:val="24"/>
        </w:rPr>
      </w:pPr>
      <w:r>
        <w:rPr>
          <w:rStyle w:val="read"/>
          <w:rFonts w:ascii="宋体" w:hAnsi="宋体" w:cs="Arial"/>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991DF2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的会计责任方由基金管理人担任，负责基金净值计算和基金会计核算，就与本基金有关的会计问题，如经相关各方在平等基础上充分讨论后，仍无法达成一致的意见，按照基金管理人对基金净值信息的计算结果对外予以公布。</w:t>
      </w:r>
    </w:p>
    <w:p w14:paraId="1C2B266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五、估值程序</w:t>
      </w:r>
    </w:p>
    <w:p w14:paraId="3E6BFBBB" w14:textId="6F221134" w:rsidR="00C52815" w:rsidRDefault="005C44F4">
      <w:pPr>
        <w:spacing w:line="360" w:lineRule="auto"/>
        <w:ind w:firstLineChars="200" w:firstLine="480"/>
        <w:rPr>
          <w:rFonts w:ascii="宋体" w:hAnsi="宋体" w:cs="Arial"/>
          <w:bCs/>
          <w:sz w:val="24"/>
        </w:rPr>
      </w:pPr>
      <w:r>
        <w:rPr>
          <w:rFonts w:ascii="宋体" w:hAnsi="宋体" w:cs="Arial"/>
          <w:bCs/>
          <w:sz w:val="24"/>
        </w:rPr>
        <w:t>1、基金份额净值是按照每个</w:t>
      </w:r>
      <w:r w:rsidR="001C0F27">
        <w:rPr>
          <w:rFonts w:ascii="宋体" w:hAnsi="宋体" w:cs="Arial" w:hint="eastAsia"/>
          <w:bCs/>
          <w:sz w:val="24"/>
        </w:rPr>
        <w:t>工作日</w:t>
      </w:r>
      <w:r>
        <w:rPr>
          <w:rFonts w:ascii="宋体" w:hAnsi="宋体" w:cs="Arial"/>
          <w:bCs/>
          <w:sz w:val="24"/>
        </w:rPr>
        <w:t>闭市后，基金资产净值除以当日基金份额的余额数量计算，精确到0.0001元，小数点后第5位四舍五入，由此产生的收益或损失由基金财产承担。基金管理人可以设立大额赎回情形下的净值精度应急调整机制。国家另有规定的，从其规定。</w:t>
      </w:r>
    </w:p>
    <w:p w14:paraId="4FA4FA04" w14:textId="1C2CA393" w:rsidR="00C52815" w:rsidRDefault="005C44F4">
      <w:pPr>
        <w:spacing w:line="360" w:lineRule="auto"/>
        <w:ind w:firstLineChars="200" w:firstLine="480"/>
        <w:rPr>
          <w:rFonts w:ascii="宋体" w:hAnsi="宋体" w:cs="Arial"/>
          <w:bCs/>
          <w:sz w:val="24"/>
        </w:rPr>
      </w:pPr>
      <w:r>
        <w:rPr>
          <w:rFonts w:ascii="宋体" w:hAnsi="宋体" w:cs="Arial"/>
          <w:bCs/>
          <w:sz w:val="24"/>
        </w:rPr>
        <w:t>2、基金管理人</w:t>
      </w:r>
      <w:proofErr w:type="gramStart"/>
      <w:r>
        <w:rPr>
          <w:rFonts w:ascii="宋体" w:hAnsi="宋体" w:cs="Arial"/>
          <w:bCs/>
          <w:sz w:val="24"/>
        </w:rPr>
        <w:t>应每个</w:t>
      </w:r>
      <w:proofErr w:type="gramEnd"/>
      <w:r w:rsidR="001C0F27">
        <w:rPr>
          <w:rFonts w:ascii="宋体" w:hAnsi="宋体" w:cs="Arial" w:hint="eastAsia"/>
          <w:bCs/>
          <w:sz w:val="24"/>
        </w:rPr>
        <w:t>工作日</w:t>
      </w:r>
      <w:r>
        <w:rPr>
          <w:rFonts w:ascii="宋体" w:hAnsi="宋体" w:cs="Arial"/>
          <w:bCs/>
          <w:sz w:val="24"/>
        </w:rPr>
        <w:t>对基金资产估值。但基金管理人根据法律法规或本基金合同的规定暂停估值时除外。基金管理人每个</w:t>
      </w:r>
      <w:r w:rsidR="001C0F27">
        <w:rPr>
          <w:rFonts w:ascii="宋体" w:hAnsi="宋体" w:cs="Arial" w:hint="eastAsia"/>
          <w:bCs/>
          <w:sz w:val="24"/>
        </w:rPr>
        <w:t>工作日</w:t>
      </w:r>
      <w:r>
        <w:rPr>
          <w:rFonts w:ascii="宋体" w:hAnsi="宋体" w:cs="Arial"/>
          <w:bCs/>
          <w:sz w:val="24"/>
        </w:rPr>
        <w:t>对基金资产估值后，将基金份额净值结果发送基金托管人，经基金托管人复核无误后，由基金管理人按照规定对外公布。</w:t>
      </w:r>
    </w:p>
    <w:p w14:paraId="0718576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六、估值错误的处理</w:t>
      </w:r>
    </w:p>
    <w:p w14:paraId="4BDEC09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基金管理人和基金托管人将采取必要、适当、合理的措施确保基金资产估值的准确性、及时性。当基金份额净值小数点后4位以内(含第4位)发生估值错误时，视为基金份额净值错误。</w:t>
      </w:r>
    </w:p>
    <w:p w14:paraId="3B906D4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本基金合同的当事人应按照以下约定处理：</w:t>
      </w:r>
    </w:p>
    <w:p w14:paraId="2EBDFF2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1、估值错误类型</w:t>
      </w:r>
    </w:p>
    <w:p w14:paraId="49F1A53A"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本基金运作过程中，如果由于基金管理人或基金托管人或投资人自身的原因造成估值错误，导致其他当事人遭受损失的，责任人应当对由于该估值错误遭受损失当事人(“受损方”)的直接损失按下述“估值错误处理原则”给予赔偿，承担赔偿责任。</w:t>
      </w:r>
    </w:p>
    <w:p w14:paraId="565C6EC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上述估值错误的主要类型包括但不限于：资料申报差错、数据传输差错、数据计算差错、系统故障差错、下达指令差错等。</w:t>
      </w:r>
    </w:p>
    <w:p w14:paraId="331361F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2、估值错误处理原则</w:t>
      </w:r>
    </w:p>
    <w:p w14:paraId="09A178F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该有协助义务的当事人应当承担相应赔偿责任。估值错误责任方应对更正的情况向有关当事人进行确认，确保估值错误已得到更正。</w:t>
      </w:r>
    </w:p>
    <w:p w14:paraId="12A9DBA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（2）估值错误的责任方对有关当事人的直接损失负责，不对间接损失负责，并且仅对估值错误的有关直接当事人负责，不对第三方负责。</w:t>
      </w:r>
    </w:p>
    <w:p w14:paraId="195CFD5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（3）因估值错误而获得不当得利的当事人负有及时返还不当得利的义务。但估值错误责任方仍应对估值错误负责。如果由于获得不当得利的当事人</w:t>
      </w:r>
      <w:proofErr w:type="gramStart"/>
      <w:r>
        <w:rPr>
          <w:rFonts w:ascii="宋体" w:hAnsi="宋体" w:cs="Arial"/>
          <w:bCs/>
          <w:sz w:val="24"/>
        </w:rPr>
        <w:t>不</w:t>
      </w:r>
      <w:proofErr w:type="gramEnd"/>
      <w:r>
        <w:rPr>
          <w:rFonts w:ascii="宋体" w:hAnsi="宋体" w:cs="Arial"/>
          <w:bCs/>
          <w:sz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F700B1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（4）估值错误调整采用尽量恢复至假设未发生估值错误的正确情形的方式。</w:t>
      </w:r>
    </w:p>
    <w:p w14:paraId="286616F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3、估值错误处理程序</w:t>
      </w:r>
    </w:p>
    <w:p w14:paraId="6F8C08F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估值错误被发现后，有关的当事人应当及时进行处理，处理的程序如下：</w:t>
      </w:r>
    </w:p>
    <w:p w14:paraId="6A41335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（1）查明估值错误发生的原因，列明所有的当事人，并根据估值错误发生的原因确定估值错误的责任方；</w:t>
      </w:r>
    </w:p>
    <w:p w14:paraId="625B663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（2）根据估值错误处理原则或当事人协商的方法对因估值错误造成的损失</w:t>
      </w:r>
      <w:r>
        <w:rPr>
          <w:rFonts w:ascii="宋体" w:hAnsi="宋体" w:cs="Arial"/>
          <w:bCs/>
          <w:sz w:val="24"/>
        </w:rPr>
        <w:lastRenderedPageBreak/>
        <w:t>进行评估；</w:t>
      </w:r>
    </w:p>
    <w:p w14:paraId="676E705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（3）根据估值错误处理原则或当事人协商的方法由估值错误的责任方进行更正和赔偿损失；</w:t>
      </w:r>
    </w:p>
    <w:p w14:paraId="12D8208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（4）根据估值错误处理的方法，需要修改基金登记结算机构交易数据的，由基金登记结算机构进行更正，并就估值错误的更正向有关当事人进行确认。</w:t>
      </w:r>
    </w:p>
    <w:p w14:paraId="0863D47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4、基金份额净值估值错误处理的方法如下：</w:t>
      </w:r>
    </w:p>
    <w:p w14:paraId="78DAF71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（1）基金份额净值计算出现错误时，基金管理人应当立即予以纠正，</w:t>
      </w:r>
      <w:r>
        <w:rPr>
          <w:rFonts w:ascii="宋体" w:hAnsi="宋体" w:cs="Arial" w:hint="eastAsia"/>
          <w:bCs/>
          <w:sz w:val="24"/>
        </w:rPr>
        <w:t>通报基金托管人，</w:t>
      </w:r>
      <w:r>
        <w:rPr>
          <w:rFonts w:ascii="宋体" w:hAnsi="宋体" w:cs="Arial"/>
          <w:bCs/>
          <w:sz w:val="24"/>
        </w:rPr>
        <w:t>并采取合理的措施防止损失进一步扩大。</w:t>
      </w:r>
    </w:p>
    <w:p w14:paraId="034695C9" w14:textId="6EE5A534" w:rsidR="00C52815" w:rsidRDefault="005C44F4">
      <w:pPr>
        <w:spacing w:line="360" w:lineRule="auto"/>
        <w:ind w:firstLineChars="200" w:firstLine="480"/>
        <w:rPr>
          <w:rFonts w:ascii="宋体" w:hAnsi="宋体" w:cs="Arial"/>
          <w:bCs/>
          <w:sz w:val="24"/>
        </w:rPr>
      </w:pPr>
      <w:r>
        <w:rPr>
          <w:rFonts w:ascii="宋体" w:hAnsi="宋体" w:cs="Arial"/>
          <w:bCs/>
          <w:sz w:val="24"/>
        </w:rPr>
        <w:t>（2）错误偏差达到基金份额净值的0.25%时，基金管理人应当通报基金托管人并报中国证监会备案；错误偏差达到基金份额净值的0.5%时，基金管理人应当公告，通报基金托管人，并报中国证监会备案。</w:t>
      </w:r>
    </w:p>
    <w:p w14:paraId="45ED04E1" w14:textId="1C4D47D9" w:rsidR="00C52815" w:rsidRDefault="004C1075">
      <w:pPr>
        <w:spacing w:line="360" w:lineRule="auto"/>
        <w:ind w:firstLineChars="200" w:firstLine="480"/>
        <w:rPr>
          <w:rFonts w:ascii="宋体" w:hAnsi="宋体" w:cs="Arial"/>
          <w:bCs/>
          <w:sz w:val="24"/>
        </w:rPr>
      </w:pPr>
      <w:r>
        <w:rPr>
          <w:bCs/>
          <w:sz w:val="24"/>
        </w:rPr>
        <w:t>（</w:t>
      </w:r>
      <w:r>
        <w:rPr>
          <w:bCs/>
          <w:sz w:val="24"/>
        </w:rPr>
        <w:t>3</w:t>
      </w:r>
      <w:r>
        <w:rPr>
          <w:bCs/>
          <w:sz w:val="24"/>
        </w:rPr>
        <w:t>）</w:t>
      </w:r>
      <w:r w:rsidR="005C44F4">
        <w:rPr>
          <w:rFonts w:ascii="宋体" w:hAnsi="宋体" w:cs="Arial"/>
          <w:bCs/>
          <w:sz w:val="24"/>
        </w:rPr>
        <w:t>前述内容如法律法规或监管机关另有规定的，从其规定处理。</w:t>
      </w:r>
    </w:p>
    <w:p w14:paraId="30E102C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5、特殊情况的处理</w:t>
      </w:r>
    </w:p>
    <w:p w14:paraId="43358C3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（1）基金管理人或基金托管人按本基金合同约定的估值方法进行估值时，所造成的误差不作为基金资产估值错误处理。</w:t>
      </w:r>
    </w:p>
    <w:p w14:paraId="78515C6B" w14:textId="6370349B" w:rsidR="00C52815" w:rsidRDefault="005C44F4">
      <w:pPr>
        <w:spacing w:line="360" w:lineRule="auto"/>
        <w:ind w:firstLineChars="200" w:firstLine="480"/>
        <w:rPr>
          <w:rFonts w:ascii="宋体" w:hAnsi="宋体" w:cs="Arial"/>
          <w:bCs/>
          <w:sz w:val="24"/>
        </w:rPr>
      </w:pPr>
      <w:r>
        <w:rPr>
          <w:rFonts w:ascii="宋体" w:hAnsi="宋体" w:cs="Arial"/>
          <w:bCs/>
          <w:sz w:val="24"/>
        </w:rPr>
        <w:t>（2）由于不可抗力，或证券交易所、期货交易所</w:t>
      </w:r>
      <w:r>
        <w:rPr>
          <w:rFonts w:ascii="宋体" w:hAnsi="宋体" w:cs="Arial" w:hint="eastAsia"/>
          <w:bCs/>
          <w:sz w:val="24"/>
        </w:rPr>
        <w:t>、</w:t>
      </w:r>
      <w:r>
        <w:rPr>
          <w:rFonts w:ascii="宋体" w:hAnsi="宋体" w:cs="Arial"/>
          <w:bCs/>
          <w:sz w:val="24"/>
        </w:rPr>
        <w:t>指数编制机构</w:t>
      </w:r>
      <w:r>
        <w:rPr>
          <w:rFonts w:ascii="宋体" w:hAnsi="宋体" w:cs="Arial" w:hint="eastAsia"/>
          <w:bCs/>
          <w:sz w:val="24"/>
        </w:rPr>
        <w:t>、</w:t>
      </w:r>
      <w:r w:rsidR="00BA26FF">
        <w:rPr>
          <w:rFonts w:ascii="宋体" w:hAnsi="宋体" w:cs="Arial"/>
          <w:bCs/>
          <w:sz w:val="24"/>
        </w:rPr>
        <w:t>第三方估值基准服务机构</w:t>
      </w:r>
      <w:r>
        <w:rPr>
          <w:rFonts w:ascii="宋体" w:hAnsi="宋体" w:cs="Arial" w:hint="eastAsia"/>
          <w:bCs/>
          <w:sz w:val="24"/>
        </w:rPr>
        <w:t>、证券经纪商</w:t>
      </w:r>
      <w:r>
        <w:rPr>
          <w:rFonts w:ascii="宋体" w:hAnsi="宋体" w:cs="Arial"/>
          <w:bCs/>
          <w:sz w:val="24"/>
        </w:rPr>
        <w:t>或登记结算</w:t>
      </w:r>
      <w:r w:rsidR="00757E62">
        <w:rPr>
          <w:rFonts w:ascii="宋体" w:hAnsi="宋体" w:cs="Arial"/>
          <w:bCs/>
          <w:sz w:val="24"/>
        </w:rPr>
        <w:t>机构</w:t>
      </w:r>
      <w:r>
        <w:rPr>
          <w:rFonts w:ascii="宋体" w:hAnsi="宋体" w:cs="Arial"/>
          <w:bCs/>
          <w:sz w:val="24"/>
        </w:rPr>
        <w:t>发送的数据错误，或国家会计政策变更、市场规则变更等</w:t>
      </w:r>
      <w:proofErr w:type="gramStart"/>
      <w:r>
        <w:rPr>
          <w:rFonts w:ascii="宋体" w:hAnsi="宋体" w:cs="Arial"/>
          <w:bCs/>
          <w:sz w:val="24"/>
        </w:rPr>
        <w:t>非基金</w:t>
      </w:r>
      <w:proofErr w:type="gramEnd"/>
      <w:r>
        <w:rPr>
          <w:rFonts w:ascii="宋体" w:hAnsi="宋体" w:cs="Arial"/>
          <w:bCs/>
          <w:sz w:val="24"/>
        </w:rPr>
        <w:t>管理人或基金托管人原因，基金管理人和基金托管人虽然已经采取必要、适当、合理的措施进行检查，仍未能发现错误</w:t>
      </w:r>
      <w:r w:rsidR="005D1F43" w:rsidRPr="005D1F43">
        <w:rPr>
          <w:rFonts w:ascii="宋体" w:hAnsi="宋体" w:cs="Arial" w:hint="eastAsia"/>
          <w:bCs/>
          <w:sz w:val="24"/>
        </w:rPr>
        <w:t>或因前述原因未能避免或更正错误</w:t>
      </w:r>
      <w:r>
        <w:rPr>
          <w:rFonts w:ascii="宋体" w:hAnsi="宋体" w:cs="Arial"/>
          <w:bCs/>
          <w:sz w:val="24"/>
        </w:rPr>
        <w:t>的，由此造成的基金资产估值错误，基金管理人和基金托管人免除赔偿责任</w:t>
      </w:r>
      <w:r>
        <w:rPr>
          <w:rFonts w:ascii="宋体" w:hAnsi="宋体" w:cs="Arial" w:hint="eastAsia"/>
          <w:bCs/>
          <w:sz w:val="24"/>
        </w:rPr>
        <w:t>。</w:t>
      </w:r>
      <w:r>
        <w:rPr>
          <w:rFonts w:ascii="宋体" w:hAnsi="宋体" w:cs="Arial"/>
          <w:bCs/>
          <w:sz w:val="24"/>
        </w:rPr>
        <w:t>但基金管理人、基金托管人应当积极采取必要的措施减轻或消除由此造成的影响。</w:t>
      </w:r>
    </w:p>
    <w:p w14:paraId="64535C6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七、暂停估值的情形</w:t>
      </w:r>
    </w:p>
    <w:p w14:paraId="6D0D764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1、基金投资所涉及的证券、期货交易市场</w:t>
      </w:r>
      <w:r>
        <w:rPr>
          <w:rFonts w:ascii="宋体" w:hAnsi="宋体" w:cs="Arial" w:hint="eastAsia"/>
          <w:bCs/>
          <w:sz w:val="24"/>
        </w:rPr>
        <w:t>或外汇市场</w:t>
      </w:r>
      <w:r>
        <w:rPr>
          <w:rFonts w:ascii="宋体" w:hAnsi="宋体" w:cs="Arial"/>
          <w:bCs/>
          <w:sz w:val="24"/>
        </w:rPr>
        <w:t>遇法定节假日或因其他原因暂停营业时；</w:t>
      </w:r>
    </w:p>
    <w:p w14:paraId="387F298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2、因不可抗力致使基金管理人、基金托管人无法准确评估基金资产价值时；</w:t>
      </w:r>
    </w:p>
    <w:p w14:paraId="01681E32" w14:textId="3285915C" w:rsidR="00C52815" w:rsidRDefault="005C44F4">
      <w:pPr>
        <w:spacing w:line="360" w:lineRule="auto"/>
        <w:ind w:firstLineChars="200" w:firstLine="480"/>
        <w:rPr>
          <w:rFonts w:ascii="宋体" w:hAnsi="宋体" w:cs="Arial"/>
          <w:bCs/>
          <w:sz w:val="24"/>
        </w:rPr>
      </w:pPr>
      <w:r>
        <w:rPr>
          <w:rFonts w:ascii="宋体" w:hAnsi="宋体" w:cs="Arial"/>
          <w:bCs/>
          <w:sz w:val="24"/>
        </w:rPr>
        <w:t>3、当前一估值日基金资产净值50%以上的资产出现无可参考的活跃市场价格且采用估值技术</w:t>
      </w:r>
      <w:proofErr w:type="gramStart"/>
      <w:r>
        <w:rPr>
          <w:rFonts w:ascii="宋体" w:hAnsi="宋体" w:cs="Arial"/>
          <w:bCs/>
          <w:sz w:val="24"/>
        </w:rPr>
        <w:t>仍导致</w:t>
      </w:r>
      <w:proofErr w:type="gramEnd"/>
      <w:r>
        <w:rPr>
          <w:rFonts w:ascii="宋体" w:hAnsi="宋体" w:cs="Arial"/>
          <w:bCs/>
          <w:sz w:val="24"/>
        </w:rPr>
        <w:t>公允价值存在重大不确定性时，经与基金托管人协商确认后，基金管理人应当暂停估值；</w:t>
      </w:r>
    </w:p>
    <w:p w14:paraId="125B1FF6"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4、法律法规规定、中国证监会和基金合同认定的其它情形。</w:t>
      </w:r>
    </w:p>
    <w:p w14:paraId="4CE5D1E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八、基金净值的确认</w:t>
      </w:r>
    </w:p>
    <w:p w14:paraId="27B22602" w14:textId="2126BFFB" w:rsidR="00C52815" w:rsidRDefault="005C44F4">
      <w:pPr>
        <w:spacing w:line="360" w:lineRule="auto"/>
        <w:ind w:firstLineChars="200" w:firstLine="480"/>
        <w:rPr>
          <w:rFonts w:ascii="宋体" w:hAnsi="宋体" w:cs="Arial"/>
          <w:bCs/>
          <w:sz w:val="24"/>
        </w:rPr>
      </w:pPr>
      <w:r>
        <w:rPr>
          <w:rFonts w:ascii="宋体" w:hAnsi="宋体" w:cs="Arial"/>
          <w:bCs/>
          <w:sz w:val="24"/>
        </w:rPr>
        <w:t>基金资产净值和基金份额净值由基金管理人负责计算，基金托管人负责进行复核。基金管理人应于每个</w:t>
      </w:r>
      <w:r w:rsidR="009D1010">
        <w:rPr>
          <w:rFonts w:ascii="宋体" w:hAnsi="宋体" w:cs="Arial" w:hint="eastAsia"/>
          <w:bCs/>
          <w:sz w:val="24"/>
        </w:rPr>
        <w:t>工作</w:t>
      </w:r>
      <w:r>
        <w:rPr>
          <w:rFonts w:ascii="宋体" w:hAnsi="宋体" w:cs="Arial"/>
          <w:bCs/>
          <w:sz w:val="24"/>
        </w:rPr>
        <w:t>日交易结束后计算当日的基金资产净值和基金份额净值并发送给基金托管人。基金托管人对净值计算结果复核确认后发送给基金管理人，由基金管理人对基金净值予以公布。</w:t>
      </w:r>
    </w:p>
    <w:p w14:paraId="7868D46B" w14:textId="77777777" w:rsidR="00C52815" w:rsidRDefault="005C44F4">
      <w:pPr>
        <w:pStyle w:val="1"/>
        <w:spacing w:before="0" w:after="0"/>
        <w:jc w:val="center"/>
        <w:rPr>
          <w:rFonts w:hAnsi="宋体" w:cs="Arial"/>
          <w:color w:val="auto"/>
          <w:sz w:val="30"/>
        </w:rPr>
      </w:pPr>
      <w:r>
        <w:rPr>
          <w:rFonts w:hAnsi="宋体" w:cs="Arial"/>
          <w:b w:val="0"/>
          <w:bCs/>
          <w:color w:val="auto"/>
          <w:sz w:val="30"/>
        </w:rPr>
        <w:br w:type="page"/>
      </w:r>
      <w:bookmarkStart w:id="377" w:name="_Toc31008"/>
      <w:bookmarkStart w:id="378" w:name="_Toc25322"/>
      <w:bookmarkStart w:id="379" w:name="_Toc19752"/>
      <w:bookmarkStart w:id="380" w:name="_Toc28167"/>
      <w:bookmarkStart w:id="381" w:name="_Toc3365"/>
      <w:bookmarkStart w:id="382" w:name="_Toc13987"/>
      <w:bookmarkStart w:id="383" w:name="_Toc24601"/>
      <w:bookmarkStart w:id="384" w:name="_Toc15779"/>
      <w:bookmarkStart w:id="385" w:name="_Toc6493"/>
      <w:bookmarkStart w:id="386" w:name="_Toc12105"/>
      <w:bookmarkStart w:id="387" w:name="_Toc114406682"/>
      <w:bookmarkStart w:id="388" w:name="_Toc19706"/>
      <w:bookmarkStart w:id="389" w:name="_Toc32041"/>
      <w:bookmarkStart w:id="390" w:name="_Toc32227"/>
      <w:r>
        <w:rPr>
          <w:rFonts w:hAnsi="宋体" w:cs="Arial"/>
          <w:color w:val="auto"/>
          <w:sz w:val="30"/>
        </w:rPr>
        <w:lastRenderedPageBreak/>
        <w:t>第十六部分  基金费用与税收</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68AA07D4" w14:textId="77777777" w:rsidR="00C52815" w:rsidRDefault="00C52815">
      <w:pPr>
        <w:spacing w:line="360" w:lineRule="auto"/>
        <w:ind w:firstLineChars="200" w:firstLine="480"/>
        <w:rPr>
          <w:rFonts w:ascii="宋体" w:hAnsi="宋体" w:cs="Arial"/>
          <w:bCs/>
          <w:sz w:val="24"/>
        </w:rPr>
      </w:pPr>
    </w:p>
    <w:p w14:paraId="5DFB2CB3" w14:textId="77777777" w:rsidR="00C52815" w:rsidRDefault="005C44F4">
      <w:pPr>
        <w:spacing w:line="360" w:lineRule="auto"/>
        <w:ind w:firstLineChars="200" w:firstLine="480"/>
        <w:rPr>
          <w:rFonts w:ascii="宋体" w:hAnsi="宋体" w:cs="Arial"/>
          <w:bCs/>
          <w:sz w:val="24"/>
        </w:rPr>
      </w:pPr>
      <w:bookmarkStart w:id="391" w:name="OLE_LINK5"/>
      <w:bookmarkStart w:id="392" w:name="OLE_LINK6"/>
      <w:r>
        <w:rPr>
          <w:rFonts w:ascii="宋体" w:hAnsi="宋体" w:cs="Arial"/>
          <w:bCs/>
          <w:sz w:val="24"/>
        </w:rPr>
        <w:t>一、基金费用的种类</w:t>
      </w:r>
    </w:p>
    <w:p w14:paraId="07EEC35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1、基金管理人的管理费；</w:t>
      </w:r>
    </w:p>
    <w:p w14:paraId="6DC7D0A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2、基金托管人的托管费；</w:t>
      </w:r>
    </w:p>
    <w:p w14:paraId="259D0C9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3、《基金合同》生效后与基金相关的信息披露费用；</w:t>
      </w:r>
    </w:p>
    <w:p w14:paraId="14F88FA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4、《基金合同》生效后与基金相关的会计师费、律师费和诉讼或仲裁费；</w:t>
      </w:r>
    </w:p>
    <w:p w14:paraId="1EAC36F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5、基金份额持有人大会费用；</w:t>
      </w:r>
    </w:p>
    <w:p w14:paraId="4FC46848" w14:textId="46D109E0" w:rsidR="00C52815" w:rsidRDefault="005C44F4">
      <w:pPr>
        <w:spacing w:line="360" w:lineRule="auto"/>
        <w:ind w:firstLineChars="200" w:firstLine="480"/>
        <w:rPr>
          <w:rFonts w:ascii="宋体" w:hAnsi="宋体" w:cs="Arial"/>
          <w:bCs/>
          <w:sz w:val="24"/>
        </w:rPr>
      </w:pPr>
      <w:r>
        <w:rPr>
          <w:rFonts w:ascii="宋体" w:hAnsi="宋体" w:cs="Arial"/>
          <w:bCs/>
          <w:sz w:val="24"/>
        </w:rPr>
        <w:t>6、因基金的证券、期货</w:t>
      </w:r>
      <w:r w:rsidR="000D2D74">
        <w:rPr>
          <w:rFonts w:ascii="宋体" w:hAnsi="宋体" w:cs="Arial" w:hint="eastAsia"/>
          <w:bCs/>
          <w:sz w:val="24"/>
        </w:rPr>
        <w:t>、期权</w:t>
      </w:r>
      <w:r>
        <w:rPr>
          <w:rFonts w:ascii="宋体" w:hAnsi="宋体" w:cs="Arial"/>
          <w:bCs/>
          <w:sz w:val="24"/>
        </w:rPr>
        <w:t>交易或结算而产生的费用（包括但不限于经手费、印花税、证管费、过户费、手续费、券商佣金及其他类似性质的费用等）；</w:t>
      </w:r>
    </w:p>
    <w:p w14:paraId="3CE17CD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7、基金的银行汇划费用；</w:t>
      </w:r>
    </w:p>
    <w:p w14:paraId="317FAA3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8、</w:t>
      </w:r>
      <w:r>
        <w:rPr>
          <w:rFonts w:ascii="宋体" w:hAnsi="宋体" w:cs="Arial"/>
          <w:sz w:val="24"/>
        </w:rPr>
        <w:t>基金的</w:t>
      </w:r>
      <w:r>
        <w:rPr>
          <w:rFonts w:ascii="宋体" w:hAnsi="宋体" w:cs="Arial"/>
          <w:bCs/>
          <w:sz w:val="24"/>
        </w:rPr>
        <w:t>开户费用、账户维护费用；</w:t>
      </w:r>
    </w:p>
    <w:p w14:paraId="09B1AC7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9、</w:t>
      </w:r>
      <w:r>
        <w:rPr>
          <w:rFonts w:ascii="宋体" w:hAnsi="宋体" w:cs="Arial"/>
          <w:sz w:val="24"/>
        </w:rPr>
        <w:t>基金</w:t>
      </w:r>
      <w:r>
        <w:rPr>
          <w:rFonts w:ascii="宋体" w:hAnsi="宋体" w:cs="Arial"/>
          <w:bCs/>
          <w:sz w:val="24"/>
        </w:rPr>
        <w:t>的上市初费</w:t>
      </w:r>
      <w:r>
        <w:rPr>
          <w:rFonts w:ascii="宋体" w:hAnsi="宋体" w:cs="Arial"/>
          <w:sz w:val="24"/>
        </w:rPr>
        <w:t>和</w:t>
      </w:r>
      <w:r>
        <w:rPr>
          <w:rFonts w:ascii="宋体" w:hAnsi="宋体" w:cs="Arial"/>
          <w:bCs/>
          <w:sz w:val="24"/>
        </w:rPr>
        <w:t>年费；</w:t>
      </w:r>
    </w:p>
    <w:p w14:paraId="00330D3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10、</w:t>
      </w:r>
      <w:r>
        <w:rPr>
          <w:rFonts w:ascii="宋体" w:hAnsi="宋体" w:cs="Arial" w:hint="eastAsia"/>
          <w:bCs/>
          <w:sz w:val="24"/>
        </w:rPr>
        <w:t>因投资港股通标的股票而产生的各项费用；</w:t>
      </w:r>
    </w:p>
    <w:p w14:paraId="418E5CE8" w14:textId="77777777" w:rsidR="00C52815" w:rsidRDefault="005C44F4">
      <w:pPr>
        <w:spacing w:line="360" w:lineRule="auto"/>
        <w:ind w:firstLineChars="200" w:firstLine="480"/>
        <w:rPr>
          <w:rFonts w:ascii="宋体" w:hAnsi="宋体" w:cs="Arial"/>
          <w:bCs/>
          <w:sz w:val="24"/>
        </w:rPr>
      </w:pPr>
      <w:r>
        <w:rPr>
          <w:rFonts w:ascii="宋体" w:hAnsi="宋体" w:cs="Arial" w:hint="eastAsia"/>
          <w:bCs/>
          <w:sz w:val="24"/>
        </w:rPr>
        <w:t>1</w:t>
      </w:r>
      <w:r>
        <w:rPr>
          <w:rFonts w:ascii="宋体" w:hAnsi="宋体" w:cs="Arial"/>
          <w:bCs/>
          <w:sz w:val="24"/>
        </w:rPr>
        <w:t>1</w:t>
      </w:r>
      <w:r>
        <w:rPr>
          <w:rFonts w:ascii="宋体" w:hAnsi="宋体" w:cs="Arial" w:hint="eastAsia"/>
          <w:bCs/>
          <w:sz w:val="24"/>
        </w:rPr>
        <w:t>、</w:t>
      </w:r>
      <w:r>
        <w:rPr>
          <w:rFonts w:ascii="宋体" w:hAnsi="宋体" w:cs="Arial"/>
          <w:bCs/>
          <w:sz w:val="24"/>
        </w:rPr>
        <w:t>按照国家有关规定和《基金合同》约定，可以在基金财产中列支的其他费用。</w:t>
      </w:r>
    </w:p>
    <w:p w14:paraId="0D8F020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二、基金费用计提方法、计提标准和支付方式</w:t>
      </w:r>
    </w:p>
    <w:p w14:paraId="424DB54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 xml:space="preserve">1、基金管理人的管理费 </w:t>
      </w:r>
    </w:p>
    <w:p w14:paraId="3A309D3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本基金的管理费按前一日基金资产净值的0.50%年费率计提。管理费的计算方法如下：</w:t>
      </w:r>
    </w:p>
    <w:p w14:paraId="760B3B5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H＝E×0.50%÷当年天数</w:t>
      </w:r>
    </w:p>
    <w:p w14:paraId="27EF561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H为每日应计提的基金管理费</w:t>
      </w:r>
    </w:p>
    <w:p w14:paraId="23C664B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E为前一日的基金资产净值</w:t>
      </w:r>
    </w:p>
    <w:p w14:paraId="0D133281" w14:textId="18CCFA30" w:rsidR="00C52815" w:rsidRDefault="005C44F4" w:rsidP="00D31A44">
      <w:pPr>
        <w:spacing w:line="360" w:lineRule="auto"/>
        <w:ind w:firstLineChars="200" w:firstLine="480"/>
        <w:rPr>
          <w:rFonts w:ascii="宋体" w:hAnsi="宋体" w:cs="Arial"/>
          <w:bCs/>
          <w:sz w:val="24"/>
        </w:rPr>
      </w:pPr>
      <w:r>
        <w:rPr>
          <w:rFonts w:ascii="宋体" w:hAnsi="宋体" w:cs="Arial"/>
          <w:bCs/>
          <w:sz w:val="24"/>
        </w:rPr>
        <w:t>基金管理费</w:t>
      </w:r>
      <w:r w:rsidR="00015314" w:rsidRPr="00015314">
        <w:rPr>
          <w:rFonts w:ascii="宋体" w:hAnsi="宋体" w:cs="Arial" w:hint="eastAsia"/>
          <w:bCs/>
          <w:sz w:val="24"/>
        </w:rPr>
        <w:t>每日计提，按月支付。由基金托管人根据与基金管理人核对一致的财务数据，自动在月初5</w:t>
      </w:r>
      <w:proofErr w:type="gramStart"/>
      <w:r w:rsidR="00015314" w:rsidRPr="00015314">
        <w:rPr>
          <w:rFonts w:ascii="宋体" w:hAnsi="宋体" w:cs="Arial" w:hint="eastAsia"/>
          <w:bCs/>
          <w:sz w:val="24"/>
        </w:rPr>
        <w:t>个</w:t>
      </w:r>
      <w:proofErr w:type="gramEnd"/>
      <w:r w:rsidR="00015314" w:rsidRPr="00015314">
        <w:rPr>
          <w:rFonts w:ascii="宋体" w:hAnsi="宋体" w:cs="Arial"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r w:rsidR="00167C78" w:rsidRPr="00F93927">
        <w:rPr>
          <w:rFonts w:ascii="宋体" w:hAnsi="宋体" w:cs="Arial" w:hint="eastAsia"/>
          <w:bCs/>
          <w:sz w:val="24"/>
        </w:rPr>
        <w:t>。</w:t>
      </w:r>
    </w:p>
    <w:p w14:paraId="348526C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2、基金托管人的托管费</w:t>
      </w:r>
    </w:p>
    <w:p w14:paraId="732E5931"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本基金的托管费按前一日基金资产净值的0.10%年费率计提。托管费的计算方法如下：</w:t>
      </w:r>
    </w:p>
    <w:p w14:paraId="54209B0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H＝E×0.10%÷当年天数</w:t>
      </w:r>
    </w:p>
    <w:p w14:paraId="01E7F02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H为每日应计提的基金托管费</w:t>
      </w:r>
    </w:p>
    <w:p w14:paraId="39F4B9C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E为前一日的基金资产净值</w:t>
      </w:r>
    </w:p>
    <w:p w14:paraId="2837781A" w14:textId="6BEE232F" w:rsidR="00167C78" w:rsidRDefault="005C44F4">
      <w:pPr>
        <w:spacing w:line="360" w:lineRule="auto"/>
        <w:ind w:firstLineChars="200" w:firstLine="480"/>
        <w:rPr>
          <w:rFonts w:ascii="宋体" w:hAnsi="宋体" w:cs="Arial"/>
          <w:bCs/>
          <w:sz w:val="24"/>
        </w:rPr>
      </w:pPr>
      <w:r>
        <w:rPr>
          <w:rFonts w:ascii="宋体" w:hAnsi="宋体" w:cs="Arial"/>
          <w:bCs/>
          <w:sz w:val="24"/>
        </w:rPr>
        <w:t>基金托管费</w:t>
      </w:r>
      <w:r w:rsidR="00167C78" w:rsidRPr="000C7521">
        <w:rPr>
          <w:rFonts w:ascii="宋体" w:hAnsi="宋体" w:cs="Arial" w:hint="eastAsia"/>
          <w:bCs/>
          <w:sz w:val="24"/>
        </w:rPr>
        <w:t>每日计提，按月支付。</w:t>
      </w:r>
      <w:r w:rsidR="00015314" w:rsidRPr="00015314">
        <w:rPr>
          <w:rFonts w:ascii="宋体" w:hAnsi="宋体" w:cs="Arial" w:hint="eastAsia"/>
          <w:bCs/>
          <w:sz w:val="24"/>
        </w:rPr>
        <w:t>由基金托管人根据与基金管理人核对一致的财务数据，自动在月初5</w:t>
      </w:r>
      <w:proofErr w:type="gramStart"/>
      <w:r w:rsidR="00015314" w:rsidRPr="00015314">
        <w:rPr>
          <w:rFonts w:ascii="宋体" w:hAnsi="宋体" w:cs="Arial" w:hint="eastAsia"/>
          <w:bCs/>
          <w:sz w:val="24"/>
        </w:rPr>
        <w:t>个</w:t>
      </w:r>
      <w:proofErr w:type="gramEnd"/>
      <w:r w:rsidR="00015314" w:rsidRPr="00015314">
        <w:rPr>
          <w:rFonts w:ascii="宋体" w:hAnsi="宋体" w:cs="Arial"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r w:rsidR="00167C78" w:rsidRPr="000C7521">
        <w:rPr>
          <w:rFonts w:ascii="宋体" w:hAnsi="宋体" w:cs="Arial" w:hint="eastAsia"/>
          <w:bCs/>
          <w:sz w:val="24"/>
        </w:rPr>
        <w:t>。</w:t>
      </w:r>
    </w:p>
    <w:p w14:paraId="79BF7228" w14:textId="77777777" w:rsidR="00C52815" w:rsidRDefault="005C44F4">
      <w:pPr>
        <w:spacing w:line="360" w:lineRule="auto"/>
        <w:ind w:firstLineChars="200" w:firstLine="480"/>
        <w:rPr>
          <w:rFonts w:ascii="宋体" w:hAnsi="宋体" w:cs="Arial"/>
          <w:bCs/>
          <w:sz w:val="24"/>
        </w:rPr>
      </w:pPr>
      <w:r>
        <w:rPr>
          <w:rFonts w:ascii="宋体" w:hAnsi="宋体" w:cs="Arial" w:hint="eastAsia"/>
          <w:bCs/>
          <w:sz w:val="24"/>
        </w:rPr>
        <w:t>3、</w:t>
      </w:r>
      <w:r>
        <w:rPr>
          <w:rFonts w:ascii="宋体" w:hAnsi="宋体" w:cs="Arial"/>
          <w:bCs/>
          <w:sz w:val="24"/>
        </w:rPr>
        <w:t>除管理费、托管费之外的基金费用，根据有关法规及相应协议的规定，按费用实际支出金额，列入或摊入当期基金费用，由基金托管人从基金财产中支付。</w:t>
      </w:r>
    </w:p>
    <w:p w14:paraId="408B712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三、不列入基金费用的项目</w:t>
      </w:r>
    </w:p>
    <w:p w14:paraId="407FB78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下列费用不列入基金费用：</w:t>
      </w:r>
    </w:p>
    <w:p w14:paraId="7EB1C81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1、基金管理人和基金托管人因未履行或未完全履行义务导致的费用支出或基金财产的损失；</w:t>
      </w:r>
    </w:p>
    <w:p w14:paraId="0556A7E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2、基金管理人和基金托管人处理与基金运作无关的事项发生的费用；</w:t>
      </w:r>
    </w:p>
    <w:p w14:paraId="6872FDC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3、《基金合同》生效前的相关费用；</w:t>
      </w:r>
    </w:p>
    <w:p w14:paraId="1E7EF7D1" w14:textId="19433BAE" w:rsidR="00C52815" w:rsidRDefault="005C44F4">
      <w:pPr>
        <w:spacing w:line="360" w:lineRule="auto"/>
        <w:ind w:firstLineChars="200" w:firstLine="480"/>
        <w:rPr>
          <w:rFonts w:ascii="宋体" w:hAnsi="宋体" w:cs="Arial"/>
          <w:bCs/>
          <w:sz w:val="24"/>
        </w:rPr>
      </w:pPr>
      <w:r>
        <w:rPr>
          <w:rFonts w:ascii="宋体" w:hAnsi="宋体" w:cs="Arial"/>
          <w:bCs/>
          <w:sz w:val="24"/>
        </w:rPr>
        <w:t>4、指数许可使用费（指数许可使用费由基金管理人承担</w:t>
      </w:r>
      <w:r w:rsidR="00542B80" w:rsidRPr="00542B80">
        <w:rPr>
          <w:rFonts w:ascii="宋体" w:hAnsi="宋体" w:cs="Arial" w:hint="eastAsia"/>
          <w:bCs/>
          <w:sz w:val="24"/>
        </w:rPr>
        <w:t>，不得从基金财产中列支</w:t>
      </w:r>
      <w:r>
        <w:rPr>
          <w:rFonts w:ascii="宋体" w:hAnsi="宋体" w:cs="Arial"/>
          <w:bCs/>
          <w:sz w:val="24"/>
        </w:rPr>
        <w:t>）；</w:t>
      </w:r>
    </w:p>
    <w:p w14:paraId="07F5C0B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5、其他根据相关法律法规及中国证监会的有关规定不得列入基金费用的项目。</w:t>
      </w:r>
      <w:bookmarkStart w:id="393" w:name="_Hlt88827255"/>
      <w:bookmarkEnd w:id="393"/>
    </w:p>
    <w:p w14:paraId="79EE809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四、基金税收</w:t>
      </w:r>
    </w:p>
    <w:p w14:paraId="4DC7504F" w14:textId="77777777" w:rsidR="00C52815" w:rsidRDefault="005C44F4">
      <w:pPr>
        <w:spacing w:line="360" w:lineRule="auto"/>
        <w:ind w:firstLineChars="200" w:firstLine="480"/>
        <w:rPr>
          <w:rFonts w:ascii="宋体" w:hAnsi="宋体" w:cs="Arial"/>
          <w:bCs/>
          <w:sz w:val="24"/>
        </w:rPr>
      </w:pPr>
      <w:r>
        <w:rPr>
          <w:rFonts w:ascii="宋体" w:hAnsi="宋体" w:cs="Arial" w:hint="eastAsia"/>
          <w:bCs/>
          <w:sz w:val="24"/>
        </w:rPr>
        <w:t>本基金支付给基金管理人、基金托管人的各项费用均为含税价格，具体税率适用中国税务机关的相关规定。</w:t>
      </w:r>
    </w:p>
    <w:p w14:paraId="7260B67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本基金运作过程中涉及的各纳税主体，其纳税义务按国家税收法律、法规执行，但本基金运作过程中应缴纳的增值税、附加税费等税费由基金财产承担，按照税务机关的要求以基金管理人名义缴纳</w:t>
      </w:r>
      <w:r>
        <w:rPr>
          <w:rFonts w:ascii="宋体" w:hAnsi="宋体" w:cs="Arial"/>
          <w:sz w:val="24"/>
        </w:rPr>
        <w:t>。</w:t>
      </w:r>
    </w:p>
    <w:p w14:paraId="03461123" w14:textId="77777777" w:rsidR="00C52815" w:rsidRDefault="005C44F4">
      <w:pPr>
        <w:pStyle w:val="1"/>
        <w:spacing w:before="0" w:after="0"/>
        <w:jc w:val="center"/>
        <w:rPr>
          <w:rFonts w:hAnsi="宋体" w:cs="Arial"/>
          <w:color w:val="auto"/>
          <w:sz w:val="30"/>
        </w:rPr>
      </w:pPr>
      <w:bookmarkStart w:id="394" w:name="_Toc93226149"/>
      <w:bookmarkStart w:id="395" w:name="_Toc92662707"/>
      <w:bookmarkStart w:id="396" w:name="_Toc22552"/>
      <w:bookmarkStart w:id="397" w:name="_Toc128310499"/>
      <w:bookmarkStart w:id="398" w:name="_Toc141703896"/>
      <w:bookmarkStart w:id="399" w:name="_Toc139991746"/>
      <w:r>
        <w:rPr>
          <w:rFonts w:hAnsi="宋体" w:cs="Arial"/>
          <w:b w:val="0"/>
          <w:bCs/>
          <w:color w:val="auto"/>
          <w:sz w:val="30"/>
        </w:rPr>
        <w:br w:type="page"/>
      </w:r>
      <w:bookmarkStart w:id="400" w:name="_Toc3656"/>
      <w:bookmarkStart w:id="401" w:name="_Toc178"/>
      <w:bookmarkStart w:id="402" w:name="_Toc27879"/>
      <w:bookmarkStart w:id="403" w:name="_Toc19558"/>
      <w:bookmarkStart w:id="404" w:name="_Toc20052"/>
      <w:bookmarkStart w:id="405" w:name="_Toc17176"/>
      <w:bookmarkStart w:id="406" w:name="_Toc10134"/>
      <w:bookmarkStart w:id="407" w:name="_Toc25883"/>
      <w:bookmarkStart w:id="408" w:name="_Toc15525"/>
      <w:bookmarkStart w:id="409" w:name="_Toc15351"/>
      <w:bookmarkStart w:id="410" w:name="_Toc21829"/>
      <w:bookmarkStart w:id="411" w:name="_Toc12761"/>
      <w:bookmarkStart w:id="412" w:name="_Toc1617"/>
      <w:bookmarkStart w:id="413" w:name="_Toc114406683"/>
      <w:bookmarkEnd w:id="391"/>
      <w:bookmarkEnd w:id="392"/>
      <w:r>
        <w:rPr>
          <w:rFonts w:hAnsi="宋体" w:cs="Arial"/>
          <w:color w:val="auto"/>
          <w:sz w:val="30"/>
        </w:rPr>
        <w:lastRenderedPageBreak/>
        <w:t>第十七部分  基金</w:t>
      </w:r>
      <w:bookmarkEnd w:id="394"/>
      <w:bookmarkEnd w:id="395"/>
      <w:r>
        <w:rPr>
          <w:rFonts w:hAnsi="宋体" w:cs="Arial"/>
          <w:color w:val="auto"/>
          <w:sz w:val="30"/>
        </w:rPr>
        <w:t>的收益与分配</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320C2DE1" w14:textId="77777777" w:rsidR="00C52815" w:rsidRDefault="00C52815">
      <w:pPr>
        <w:rPr>
          <w:rFonts w:ascii="宋体" w:hAnsi="宋体" w:cs="Arial"/>
          <w:bCs/>
        </w:rPr>
      </w:pPr>
    </w:p>
    <w:p w14:paraId="1848D321" w14:textId="77777777" w:rsidR="00C52815" w:rsidRDefault="005C44F4">
      <w:pPr>
        <w:spacing w:line="360" w:lineRule="auto"/>
        <w:ind w:firstLineChars="225" w:firstLine="540"/>
        <w:rPr>
          <w:rFonts w:ascii="宋体" w:hAnsi="宋体" w:cs="Arial"/>
          <w:bCs/>
          <w:sz w:val="24"/>
        </w:rPr>
      </w:pPr>
      <w:r>
        <w:rPr>
          <w:rFonts w:ascii="宋体" w:hAnsi="宋体" w:cs="Arial"/>
          <w:bCs/>
          <w:sz w:val="24"/>
        </w:rPr>
        <w:t>一、基金收益分配原则</w:t>
      </w:r>
    </w:p>
    <w:p w14:paraId="1D318A63" w14:textId="77777777" w:rsidR="003A1DD8" w:rsidRPr="003A1DD8" w:rsidRDefault="003A1DD8" w:rsidP="003A1DD8">
      <w:pPr>
        <w:spacing w:line="360" w:lineRule="auto"/>
        <w:ind w:firstLineChars="225" w:firstLine="540"/>
        <w:rPr>
          <w:rFonts w:ascii="宋体" w:hAnsi="宋体" w:cs="Arial"/>
          <w:bCs/>
          <w:sz w:val="24"/>
        </w:rPr>
      </w:pPr>
      <w:r w:rsidRPr="003A1DD8">
        <w:rPr>
          <w:rFonts w:ascii="宋体" w:hAnsi="宋体" w:cs="Arial" w:hint="eastAsia"/>
          <w:bCs/>
          <w:sz w:val="24"/>
        </w:rPr>
        <w:t>1、每份基金份额享有同等分配权；</w:t>
      </w:r>
    </w:p>
    <w:p w14:paraId="1096C5E5" w14:textId="77777777" w:rsidR="003A1DD8" w:rsidRPr="003A1DD8" w:rsidRDefault="003A1DD8" w:rsidP="003A1DD8">
      <w:pPr>
        <w:spacing w:line="360" w:lineRule="auto"/>
        <w:ind w:firstLineChars="225" w:firstLine="540"/>
        <w:rPr>
          <w:rFonts w:ascii="宋体" w:hAnsi="宋体" w:cs="Arial"/>
          <w:bCs/>
          <w:sz w:val="24"/>
        </w:rPr>
      </w:pPr>
      <w:r w:rsidRPr="003A1DD8">
        <w:rPr>
          <w:rFonts w:ascii="宋体" w:hAnsi="宋体" w:cs="Arial" w:hint="eastAsia"/>
          <w:bCs/>
          <w:sz w:val="24"/>
        </w:rPr>
        <w:t>2、</w:t>
      </w:r>
      <w:proofErr w:type="gramStart"/>
      <w:r w:rsidRPr="003A1DD8">
        <w:rPr>
          <w:rFonts w:ascii="宋体" w:hAnsi="宋体" w:cs="Arial" w:hint="eastAsia"/>
          <w:bCs/>
          <w:sz w:val="24"/>
        </w:rPr>
        <w:t>若基金</w:t>
      </w:r>
      <w:proofErr w:type="gramEnd"/>
      <w:r w:rsidRPr="003A1DD8">
        <w:rPr>
          <w:rFonts w:ascii="宋体" w:hAnsi="宋体" w:cs="Arial" w:hint="eastAsia"/>
          <w:bCs/>
          <w:sz w:val="24"/>
        </w:rPr>
        <w:t xml:space="preserve">合同生效不满 3 </w:t>
      </w:r>
      <w:proofErr w:type="gramStart"/>
      <w:r w:rsidRPr="003A1DD8">
        <w:rPr>
          <w:rFonts w:ascii="宋体" w:hAnsi="宋体" w:cs="Arial" w:hint="eastAsia"/>
          <w:bCs/>
          <w:sz w:val="24"/>
        </w:rPr>
        <w:t>个</w:t>
      </w:r>
      <w:proofErr w:type="gramEnd"/>
      <w:r w:rsidRPr="003A1DD8">
        <w:rPr>
          <w:rFonts w:ascii="宋体" w:hAnsi="宋体" w:cs="Arial" w:hint="eastAsia"/>
          <w:bCs/>
          <w:sz w:val="24"/>
        </w:rPr>
        <w:t>月可不进行收益分配；</w:t>
      </w:r>
    </w:p>
    <w:p w14:paraId="03329213" w14:textId="77777777" w:rsidR="003A1DD8" w:rsidRPr="003A1DD8" w:rsidRDefault="003A1DD8" w:rsidP="003A1DD8">
      <w:pPr>
        <w:spacing w:line="360" w:lineRule="auto"/>
        <w:ind w:firstLineChars="225" w:firstLine="540"/>
        <w:rPr>
          <w:rFonts w:ascii="宋体" w:hAnsi="宋体" w:cs="Arial"/>
          <w:bCs/>
          <w:sz w:val="24"/>
        </w:rPr>
      </w:pPr>
      <w:r w:rsidRPr="003A1DD8">
        <w:rPr>
          <w:rFonts w:ascii="宋体" w:hAnsi="宋体" w:cs="Arial" w:hint="eastAsia"/>
          <w:bCs/>
          <w:sz w:val="24"/>
        </w:rPr>
        <w:t>3、本基金收益分配采取现金方式；</w:t>
      </w:r>
    </w:p>
    <w:p w14:paraId="461A9900" w14:textId="77777777" w:rsidR="003A1DD8" w:rsidRPr="003A1DD8" w:rsidRDefault="003A1DD8" w:rsidP="003A1DD8">
      <w:pPr>
        <w:spacing w:line="360" w:lineRule="auto"/>
        <w:ind w:firstLineChars="225" w:firstLine="540"/>
        <w:rPr>
          <w:rFonts w:ascii="宋体" w:hAnsi="宋体" w:cs="Arial"/>
          <w:bCs/>
          <w:sz w:val="24"/>
        </w:rPr>
      </w:pPr>
      <w:r w:rsidRPr="003A1DD8">
        <w:rPr>
          <w:rFonts w:ascii="宋体" w:hAnsi="宋体" w:cs="Arial" w:hint="eastAsia"/>
          <w:bCs/>
          <w:sz w:val="24"/>
        </w:rPr>
        <w:t>4、基金收益</w:t>
      </w:r>
      <w:proofErr w:type="gramStart"/>
      <w:r w:rsidRPr="003A1DD8">
        <w:rPr>
          <w:rFonts w:ascii="宋体" w:hAnsi="宋体" w:cs="Arial" w:hint="eastAsia"/>
          <w:bCs/>
          <w:sz w:val="24"/>
        </w:rPr>
        <w:t>评价日核定</w:t>
      </w:r>
      <w:proofErr w:type="gramEnd"/>
      <w:r w:rsidRPr="003A1DD8">
        <w:rPr>
          <w:rFonts w:ascii="宋体" w:hAnsi="宋体" w:cs="Arial" w:hint="eastAsia"/>
          <w:bCs/>
          <w:sz w:val="24"/>
        </w:rPr>
        <w:t>的基金累计报酬率超过标的指数同期累计报酬率时，基金管理人可以进行收益分配；在符合有关基金分红条件的前提下，基金管理人可以根据实际情况进行收益分配，具体分配方案以届时的公告为准；</w:t>
      </w:r>
    </w:p>
    <w:p w14:paraId="056C7464" w14:textId="77777777" w:rsidR="003A1DD8" w:rsidRPr="003A1DD8" w:rsidRDefault="003A1DD8" w:rsidP="003A1DD8">
      <w:pPr>
        <w:spacing w:line="360" w:lineRule="auto"/>
        <w:ind w:firstLineChars="225" w:firstLine="540"/>
        <w:rPr>
          <w:rFonts w:ascii="宋体" w:hAnsi="宋体" w:cs="Arial"/>
          <w:bCs/>
          <w:sz w:val="24"/>
        </w:rPr>
      </w:pPr>
      <w:r w:rsidRPr="003A1DD8">
        <w:rPr>
          <w:rFonts w:ascii="宋体" w:hAnsi="宋体" w:cs="Arial" w:hint="eastAsia"/>
          <w:bCs/>
          <w:sz w:val="24"/>
        </w:rPr>
        <w:t>5、基于本基金的性质和特点，本基金收益分配不须以弥补亏损为前提，收益分配后有可能使基金份额净值低于面值，即基金收益分配基准日（即收益评价日）的基金份额净值减去每单位基金份额收益分配金额后可能低于面值；</w:t>
      </w:r>
    </w:p>
    <w:p w14:paraId="53E241C8" w14:textId="2296E6B8" w:rsidR="001C7C51" w:rsidRDefault="003A1DD8" w:rsidP="00EF68C6">
      <w:pPr>
        <w:spacing w:line="360" w:lineRule="auto"/>
        <w:ind w:firstLineChars="225" w:firstLine="540"/>
        <w:rPr>
          <w:rFonts w:ascii="宋体" w:hAnsi="宋体" w:cs="Arial"/>
          <w:bCs/>
          <w:sz w:val="24"/>
        </w:rPr>
      </w:pPr>
      <w:r w:rsidRPr="003A1DD8">
        <w:rPr>
          <w:rFonts w:ascii="宋体" w:hAnsi="宋体" w:cs="Arial" w:hint="eastAsia"/>
          <w:bCs/>
          <w:sz w:val="24"/>
        </w:rPr>
        <w:t>6、法律法规或监管机关另有规定的，从其规定。</w:t>
      </w:r>
    </w:p>
    <w:p w14:paraId="3F01755D" w14:textId="2213F43F" w:rsidR="00C52815" w:rsidRDefault="002E2C70">
      <w:pPr>
        <w:spacing w:line="360" w:lineRule="auto"/>
        <w:ind w:firstLineChars="225" w:firstLine="540"/>
        <w:rPr>
          <w:rFonts w:ascii="宋体" w:hAnsi="宋体" w:cs="Arial"/>
          <w:bCs/>
          <w:sz w:val="24"/>
        </w:rPr>
      </w:pPr>
      <w:r>
        <w:rPr>
          <w:rFonts w:ascii="宋体" w:hAnsi="宋体" w:cs="Arial" w:hint="eastAsia"/>
          <w:bCs/>
          <w:sz w:val="24"/>
        </w:rPr>
        <w:t>二</w:t>
      </w:r>
      <w:r w:rsidR="005C44F4">
        <w:rPr>
          <w:rFonts w:ascii="宋体" w:hAnsi="宋体" w:cs="Arial"/>
          <w:bCs/>
          <w:sz w:val="24"/>
        </w:rPr>
        <w:t>、收益分配方案</w:t>
      </w:r>
    </w:p>
    <w:p w14:paraId="360053FE" w14:textId="77777777" w:rsidR="00C52815" w:rsidRDefault="005C44F4">
      <w:pPr>
        <w:spacing w:line="360" w:lineRule="auto"/>
        <w:ind w:firstLineChars="225" w:firstLine="540"/>
        <w:rPr>
          <w:rFonts w:ascii="宋体" w:hAnsi="宋体" w:cs="Arial"/>
          <w:bCs/>
          <w:sz w:val="24"/>
        </w:rPr>
      </w:pPr>
      <w:r>
        <w:rPr>
          <w:rFonts w:ascii="宋体" w:hAnsi="宋体" w:cs="Arial"/>
          <w:bCs/>
          <w:sz w:val="24"/>
        </w:rPr>
        <w:t>基金收益分配方案中应载明基金收益分配对象、分配原则、分配时间、分配数额及比例、分配方式及有关手续费等内容。</w:t>
      </w:r>
    </w:p>
    <w:p w14:paraId="45A2FDA2" w14:textId="728DDCE4" w:rsidR="00C52815" w:rsidRDefault="002E2C70">
      <w:pPr>
        <w:spacing w:line="360" w:lineRule="auto"/>
        <w:ind w:firstLineChars="225" w:firstLine="540"/>
        <w:rPr>
          <w:rFonts w:ascii="宋体" w:hAnsi="宋体" w:cs="Arial"/>
          <w:bCs/>
          <w:sz w:val="24"/>
        </w:rPr>
      </w:pPr>
      <w:r>
        <w:rPr>
          <w:rFonts w:ascii="宋体" w:hAnsi="宋体" w:cs="Arial" w:hint="eastAsia"/>
          <w:bCs/>
          <w:sz w:val="24"/>
        </w:rPr>
        <w:t>三</w:t>
      </w:r>
      <w:r w:rsidR="005C44F4">
        <w:rPr>
          <w:rFonts w:ascii="宋体" w:hAnsi="宋体" w:cs="Arial"/>
          <w:bCs/>
          <w:sz w:val="24"/>
        </w:rPr>
        <w:t>、收益分配方案的确定、公告与实施</w:t>
      </w:r>
    </w:p>
    <w:p w14:paraId="18E8F8D6" w14:textId="47600606" w:rsidR="00C52815" w:rsidRDefault="005C44F4">
      <w:pPr>
        <w:spacing w:line="360" w:lineRule="auto"/>
        <w:ind w:firstLineChars="225" w:firstLine="540"/>
        <w:rPr>
          <w:rFonts w:ascii="宋体" w:hAnsi="宋体" w:cs="Arial"/>
          <w:bCs/>
          <w:sz w:val="24"/>
        </w:rPr>
      </w:pPr>
      <w:r>
        <w:rPr>
          <w:rFonts w:ascii="宋体" w:hAnsi="宋体" w:cs="Arial"/>
          <w:bCs/>
          <w:sz w:val="24"/>
        </w:rPr>
        <w:t>基金收益分配方案由基金管理人拟定，并由基金托管人复核，基金管理人依照《信息披露办法》的有关规定在规定媒介上公告。</w:t>
      </w:r>
    </w:p>
    <w:p w14:paraId="3C9EDA12" w14:textId="49D3DCEF" w:rsidR="00C52815" w:rsidRDefault="002E2C70">
      <w:pPr>
        <w:spacing w:line="360" w:lineRule="auto"/>
        <w:ind w:firstLineChars="225" w:firstLine="540"/>
        <w:rPr>
          <w:rFonts w:ascii="宋体" w:hAnsi="宋体" w:cs="Arial"/>
          <w:bCs/>
          <w:sz w:val="24"/>
        </w:rPr>
      </w:pPr>
      <w:r>
        <w:rPr>
          <w:rFonts w:ascii="宋体" w:hAnsi="宋体" w:cs="Arial" w:hint="eastAsia"/>
          <w:bCs/>
          <w:sz w:val="24"/>
        </w:rPr>
        <w:t>四</w:t>
      </w:r>
      <w:r w:rsidR="005C44F4">
        <w:rPr>
          <w:rFonts w:ascii="宋体" w:hAnsi="宋体" w:cs="Arial"/>
          <w:bCs/>
          <w:sz w:val="24"/>
        </w:rPr>
        <w:t>、基金收益分配中发生的费用</w:t>
      </w:r>
    </w:p>
    <w:p w14:paraId="3520C473" w14:textId="77777777" w:rsidR="00C52815" w:rsidRDefault="005C44F4">
      <w:pPr>
        <w:spacing w:line="360" w:lineRule="auto"/>
        <w:ind w:firstLineChars="225" w:firstLine="540"/>
        <w:rPr>
          <w:rFonts w:ascii="宋体" w:hAnsi="宋体" w:cs="Arial"/>
          <w:bCs/>
          <w:sz w:val="24"/>
        </w:rPr>
      </w:pPr>
      <w:r>
        <w:rPr>
          <w:rFonts w:ascii="宋体" w:hAnsi="宋体" w:cs="Arial"/>
          <w:bCs/>
          <w:sz w:val="24"/>
        </w:rPr>
        <w:t>收益分配时发生的银行转账等手续费用由基金份额持有人自行承担。</w:t>
      </w:r>
    </w:p>
    <w:p w14:paraId="451D366F" w14:textId="77777777" w:rsidR="00C52815" w:rsidRDefault="005C44F4">
      <w:pPr>
        <w:pStyle w:val="1"/>
        <w:spacing w:before="0" w:after="0"/>
        <w:jc w:val="center"/>
        <w:rPr>
          <w:rFonts w:hAnsi="宋体" w:cs="Arial"/>
          <w:color w:val="auto"/>
          <w:sz w:val="30"/>
        </w:rPr>
      </w:pPr>
      <w:r>
        <w:rPr>
          <w:rFonts w:hAnsi="宋体" w:cs="Arial"/>
          <w:color w:val="auto"/>
        </w:rPr>
        <w:br w:type="page"/>
      </w:r>
      <w:bookmarkStart w:id="414" w:name="_Toc93226150"/>
      <w:bookmarkStart w:id="415" w:name="_Toc92662708"/>
      <w:bookmarkStart w:id="416" w:name="_Toc1796"/>
      <w:bookmarkStart w:id="417" w:name="_Toc114406684"/>
      <w:bookmarkStart w:id="418" w:name="_Toc139991747"/>
      <w:bookmarkStart w:id="419" w:name="_Toc17499"/>
      <w:bookmarkStart w:id="420" w:name="_Toc23005"/>
      <w:bookmarkStart w:id="421" w:name="_Toc18747"/>
      <w:bookmarkStart w:id="422" w:name="_Toc13255"/>
      <w:bookmarkStart w:id="423" w:name="_Toc31736"/>
      <w:bookmarkStart w:id="424" w:name="_Toc1043"/>
      <w:bookmarkStart w:id="425" w:name="_Toc23446"/>
      <w:bookmarkStart w:id="426" w:name="_Toc141703897"/>
      <w:bookmarkStart w:id="427" w:name="_Toc28961"/>
      <w:bookmarkStart w:id="428" w:name="_Toc23859"/>
      <w:bookmarkStart w:id="429" w:name="_Toc18007"/>
      <w:bookmarkStart w:id="430" w:name="_Toc21206"/>
      <w:bookmarkStart w:id="431" w:name="_Toc10894"/>
      <w:bookmarkStart w:id="432" w:name="_Toc128310500"/>
      <w:bookmarkStart w:id="433" w:name="_Toc29695"/>
      <w:r>
        <w:rPr>
          <w:rFonts w:hAnsi="宋体" w:cs="Arial"/>
          <w:color w:val="auto"/>
          <w:sz w:val="30"/>
        </w:rPr>
        <w:lastRenderedPageBreak/>
        <w:t>第十八部分  基金</w:t>
      </w:r>
      <w:bookmarkEnd w:id="414"/>
      <w:bookmarkEnd w:id="415"/>
      <w:r>
        <w:rPr>
          <w:rFonts w:hAnsi="宋体" w:cs="Arial"/>
          <w:color w:val="auto"/>
          <w:sz w:val="30"/>
        </w:rPr>
        <w:t>的会计与审计</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0CBE252E" w14:textId="77777777" w:rsidR="00C52815" w:rsidRDefault="00C52815">
      <w:pPr>
        <w:spacing w:line="360" w:lineRule="auto"/>
        <w:ind w:firstLineChars="200" w:firstLine="480"/>
        <w:rPr>
          <w:rFonts w:ascii="宋体" w:hAnsi="宋体" w:cs="Arial"/>
          <w:bCs/>
          <w:sz w:val="24"/>
        </w:rPr>
      </w:pPr>
    </w:p>
    <w:p w14:paraId="75A51BE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一、基金会计政策</w:t>
      </w:r>
    </w:p>
    <w:p w14:paraId="5A2CE7C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1、基金管理人为本基金的基金会计责任方；</w:t>
      </w:r>
    </w:p>
    <w:p w14:paraId="07C49C3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 xml:space="preserve">2、基金的会计年度为公历年度的1月1日至12月31日； </w:t>
      </w:r>
    </w:p>
    <w:p w14:paraId="1CAA3C3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3、基金核算以人民币为记账本位币，以人民币元为记账单位；</w:t>
      </w:r>
    </w:p>
    <w:p w14:paraId="49D5712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4、会计制度执行国家有关会计制度；</w:t>
      </w:r>
    </w:p>
    <w:p w14:paraId="1C620D0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5、本基金独立建账、独立核算；</w:t>
      </w:r>
    </w:p>
    <w:p w14:paraId="789B948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6、基金管理人及基金托管人各自保留完整的会计账目、凭证并进行日常的会计核算，按照有关规定编制基金会计报表；</w:t>
      </w:r>
    </w:p>
    <w:p w14:paraId="039E9D2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7、基金托管人每月与基金管理人就基金的会计核算、报表编制等进行核对并以书面方式确认。</w:t>
      </w:r>
    </w:p>
    <w:p w14:paraId="76FE753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二、基金的年度审计</w:t>
      </w:r>
    </w:p>
    <w:p w14:paraId="1AE3BFB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1、基金管理人聘请与基金管理人、基金托管人相互独立的符合《中华人民共和国证券法》规定的会计师事务所及其注册会计师对本基金的年度财务报表进行审计。</w:t>
      </w:r>
    </w:p>
    <w:p w14:paraId="2E3E5EF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2、会计师事务所更换经办注册会计师，应事先征得基金管理人同意。</w:t>
      </w:r>
    </w:p>
    <w:p w14:paraId="29CF00C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w:t>
      </w:r>
      <w:bookmarkStart w:id="434" w:name="_Hlt4221115"/>
      <w:bookmarkEnd w:id="434"/>
      <w:r>
        <w:rPr>
          <w:rFonts w:ascii="宋体" w:hAnsi="宋体" w:cs="Arial"/>
          <w:bCs/>
          <w:sz w:val="24"/>
        </w:rPr>
        <w:t>基金管理人认为有充足理由更换会计师事务所，须通报基金托管人。更换会计师事务所需依照《信息披露办法》的有关规定在规定媒介公告。</w:t>
      </w:r>
    </w:p>
    <w:p w14:paraId="055CB4B9" w14:textId="77777777" w:rsidR="00C52815" w:rsidRDefault="005C44F4">
      <w:pPr>
        <w:pStyle w:val="1"/>
        <w:spacing w:before="0" w:after="0"/>
        <w:jc w:val="center"/>
        <w:rPr>
          <w:rFonts w:hAnsi="宋体" w:cs="Arial"/>
          <w:color w:val="auto"/>
          <w:sz w:val="30"/>
        </w:rPr>
      </w:pPr>
      <w:r>
        <w:rPr>
          <w:rFonts w:hAnsi="宋体" w:cs="Arial"/>
          <w:b w:val="0"/>
          <w:bCs/>
          <w:color w:val="auto"/>
        </w:rPr>
        <w:br w:type="page"/>
      </w:r>
      <w:bookmarkStart w:id="435" w:name="_Toc93226151"/>
      <w:bookmarkStart w:id="436" w:name="_Toc92662709"/>
      <w:bookmarkStart w:id="437" w:name="_Toc193"/>
      <w:bookmarkStart w:id="438" w:name="_Toc9831"/>
      <w:bookmarkStart w:id="439" w:name="_Toc31866"/>
      <w:bookmarkStart w:id="440" w:name="_Toc11049"/>
      <w:bookmarkStart w:id="441" w:name="_Toc1173"/>
      <w:bookmarkStart w:id="442" w:name="_Toc139991748"/>
      <w:bookmarkStart w:id="443" w:name="_Toc29289"/>
      <w:bookmarkStart w:id="444" w:name="_Toc12028"/>
      <w:bookmarkStart w:id="445" w:name="_Toc11802"/>
      <w:bookmarkStart w:id="446" w:name="_Toc114406685"/>
      <w:bookmarkStart w:id="447" w:name="_Toc128310501"/>
      <w:bookmarkStart w:id="448" w:name="_Toc2967"/>
      <w:bookmarkStart w:id="449" w:name="_Toc21526"/>
      <w:bookmarkStart w:id="450" w:name="_Toc1421"/>
      <w:bookmarkStart w:id="451" w:name="_Toc21351"/>
      <w:bookmarkStart w:id="452" w:name="_Toc8512"/>
      <w:bookmarkStart w:id="453" w:name="_Toc3056"/>
      <w:bookmarkStart w:id="454" w:name="_Toc141703898"/>
      <w:r>
        <w:rPr>
          <w:rFonts w:hAnsi="宋体" w:cs="Arial"/>
          <w:color w:val="auto"/>
          <w:sz w:val="30"/>
        </w:rPr>
        <w:lastRenderedPageBreak/>
        <w:t>第十九部分  基金</w:t>
      </w:r>
      <w:bookmarkEnd w:id="435"/>
      <w:bookmarkEnd w:id="436"/>
      <w:r>
        <w:rPr>
          <w:rFonts w:hAnsi="宋体" w:cs="Arial"/>
          <w:color w:val="auto"/>
          <w:sz w:val="30"/>
        </w:rPr>
        <w:t>的信息披露</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508DD10F" w14:textId="77777777" w:rsidR="00C52815" w:rsidRDefault="00C52815">
      <w:pPr>
        <w:spacing w:line="360" w:lineRule="auto"/>
        <w:ind w:firstLineChars="200" w:firstLine="480"/>
        <w:rPr>
          <w:rFonts w:ascii="宋体" w:hAnsi="宋体" w:cs="Arial"/>
          <w:bCs/>
          <w:sz w:val="24"/>
        </w:rPr>
      </w:pPr>
    </w:p>
    <w:p w14:paraId="6B99FA9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一、本基金的信息披露应符合《基金法》、《运作办法》、《信息披露办法》、《流动性风险管理规定》、《基金合同》及其他有关规定。相关法律法规</w:t>
      </w:r>
      <w:r w:rsidR="004C7A5F">
        <w:rPr>
          <w:rFonts w:ascii="宋体" w:hAnsi="宋体" w:cs="Arial" w:hint="eastAsia"/>
          <w:bCs/>
          <w:sz w:val="24"/>
        </w:rPr>
        <w:t>或监管机</w:t>
      </w:r>
      <w:r w:rsidR="00B16D57">
        <w:rPr>
          <w:rFonts w:ascii="宋体" w:hAnsi="宋体" w:cs="Arial" w:hint="eastAsia"/>
          <w:bCs/>
          <w:sz w:val="24"/>
        </w:rPr>
        <w:t>构</w:t>
      </w:r>
      <w:r>
        <w:rPr>
          <w:rFonts w:ascii="宋体" w:hAnsi="宋体" w:cs="Arial"/>
          <w:bCs/>
          <w:sz w:val="24"/>
        </w:rPr>
        <w:t>关于信息披露的规定发生变化时，本基金按照最新规定执行，无需召开基金份额持有人大会审议批准。</w:t>
      </w:r>
    </w:p>
    <w:p w14:paraId="0D2FAAB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二、信息披露义务人</w:t>
      </w:r>
    </w:p>
    <w:p w14:paraId="78B5982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本基金信息披露义务人包括基金管理人、基金托管人、召集基金份额持有人大会的基金份额持有人等法律、行政法规和中国证监会规定的自然人、法人和非法人组织。</w:t>
      </w:r>
    </w:p>
    <w:p w14:paraId="699C0B2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本基金信息披露义务人以保护基金份额持有人利益为根本出发点，按照法律法规和中国证监会的规定披露基金信息，并保证所披露信息的真实性、准确性、完整性、及时性、简明性和易得性。</w:t>
      </w:r>
    </w:p>
    <w:p w14:paraId="2264CD7B" w14:textId="77777777" w:rsidR="00C52815" w:rsidRDefault="005C44F4">
      <w:pPr>
        <w:spacing w:line="360" w:lineRule="auto"/>
        <w:ind w:firstLineChars="200" w:firstLine="480"/>
        <w:rPr>
          <w:rFonts w:ascii="宋体" w:hAnsi="宋体" w:cs="Arial"/>
          <w:bCs/>
          <w:sz w:val="24"/>
        </w:rPr>
      </w:pPr>
      <w:bookmarkStart w:id="455" w:name="_Hlk21901860"/>
      <w:r>
        <w:rPr>
          <w:rFonts w:ascii="宋体" w:hAnsi="宋体" w:cs="Arial"/>
          <w:bCs/>
          <w:sz w:val="24"/>
        </w:rPr>
        <w:t>本基金信息披露义务人应当在中国证监会规定时间内，将应予披露的基金信息通过符合中国证监会规定条件的全国性报刊（以下简称“规定报刊”）及符合《信息披露办法》规定的互联网网站（以下简称“规定网站”）等媒介披露，并保证基金投资者能够按照《基金合同》约定的时间和方式查阅或者复制公开披露的信息资料。</w:t>
      </w:r>
      <w:bookmarkEnd w:id="455"/>
    </w:p>
    <w:p w14:paraId="102BBA4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三、本基金信息披露义务人承诺公开披露的基金信息，不得有下列行为：</w:t>
      </w:r>
    </w:p>
    <w:p w14:paraId="78952FE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1、虚假记载、误导性陈述或者重大遗漏；</w:t>
      </w:r>
    </w:p>
    <w:p w14:paraId="0E5B4DB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2、对证券投资业绩进行预测；</w:t>
      </w:r>
    </w:p>
    <w:p w14:paraId="5FC04F8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3、违规承诺收益或者承担损失；</w:t>
      </w:r>
    </w:p>
    <w:p w14:paraId="6FB89C4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4、诋毁其他基金管理人、基金托管人或者基金销售机构；</w:t>
      </w:r>
    </w:p>
    <w:p w14:paraId="18512C2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5、登载任何自然人、法人和非法人组织的祝贺性、恭维性或推荐性的文字；</w:t>
      </w:r>
    </w:p>
    <w:p w14:paraId="7D16FF6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6、中国证监会禁止的其他行为。</w:t>
      </w:r>
    </w:p>
    <w:p w14:paraId="7651C1B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四、本基金公开披露的信息应采用中文文本。同时采用外文文本的，基金信息披露义务人应保证不同文本的内容一致。不同文本之间发生歧义的，以中文文本为准。</w:t>
      </w:r>
    </w:p>
    <w:p w14:paraId="3981E13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本基金公开披露的信息采用阿拉伯数字；除特别说明外，货币单位为人民</w:t>
      </w:r>
      <w:r>
        <w:rPr>
          <w:rFonts w:ascii="宋体" w:hAnsi="宋体" w:cs="Arial"/>
          <w:bCs/>
          <w:sz w:val="24"/>
        </w:rPr>
        <w:lastRenderedPageBreak/>
        <w:t>币元。</w:t>
      </w:r>
    </w:p>
    <w:p w14:paraId="46A9394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五、公开披露的基金信息</w:t>
      </w:r>
    </w:p>
    <w:p w14:paraId="6506DA7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公开披露的基金信息包括：</w:t>
      </w:r>
    </w:p>
    <w:p w14:paraId="52F6FAB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（一）基金招募说明书、《基金合同》、基金托管协议、基金产品资料概要</w:t>
      </w:r>
    </w:p>
    <w:p w14:paraId="67FE0EC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1、《基金合同》是界定《基金合同》当事人的各项权利、义务关系，明确基金份额持有人大会召开的规则及具体程序，说明基金产品的特性等涉及基金投资者重大利益的事项的法律文件。</w:t>
      </w:r>
    </w:p>
    <w:p w14:paraId="18890A1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招募说明书应当按照法律法规及监管要求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5C55A1A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3、基金托管协议是界定基金托管人和基金管理人在基金财产保管及基金运作监督等活动中的权利、义务关系的法律文件。</w:t>
      </w:r>
    </w:p>
    <w:p w14:paraId="5C27301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666D244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0415483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（二）基金份额发售公告</w:t>
      </w:r>
    </w:p>
    <w:p w14:paraId="3F7FC443"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基金管理人应当就基金份额发售的具体事宜编制基金份额发售公告，并在披露招募说明书的当日登载于规定媒介上。</w:t>
      </w:r>
    </w:p>
    <w:p w14:paraId="2399223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（三）《基金合同》生效公告</w:t>
      </w:r>
    </w:p>
    <w:p w14:paraId="44C29D0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基金管理人应当在收到中国证监会确认文件的次日在规定媒介上登载《基金合同》生效公告。</w:t>
      </w:r>
    </w:p>
    <w:p w14:paraId="790FEC5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（四）基金净值信息</w:t>
      </w:r>
    </w:p>
    <w:p w14:paraId="72EA9FAB" w14:textId="5FCFA4F9" w:rsidR="00C52815" w:rsidRDefault="005C44F4">
      <w:pPr>
        <w:spacing w:line="360" w:lineRule="auto"/>
        <w:ind w:firstLineChars="200" w:firstLine="480"/>
        <w:rPr>
          <w:rFonts w:ascii="宋体" w:hAnsi="宋体" w:cs="Arial"/>
          <w:bCs/>
          <w:sz w:val="24"/>
        </w:rPr>
      </w:pPr>
      <w:r>
        <w:rPr>
          <w:rFonts w:ascii="宋体" w:hAnsi="宋体" w:cs="Arial"/>
          <w:bCs/>
          <w:sz w:val="24"/>
        </w:rPr>
        <w:t>《基金合同》生效后，在开始办理基金份额申购或者赎回前，基金管理人应当至少每周在规定网站披露一次基金份额净值和基金份额累计净值。</w:t>
      </w:r>
    </w:p>
    <w:p w14:paraId="2DFC49D9" w14:textId="190733AC" w:rsidR="00C52815" w:rsidRDefault="005C44F4">
      <w:pPr>
        <w:spacing w:line="360" w:lineRule="auto"/>
        <w:ind w:firstLineChars="200" w:firstLine="480"/>
        <w:rPr>
          <w:rFonts w:ascii="宋体" w:hAnsi="宋体" w:cs="Arial"/>
          <w:bCs/>
          <w:sz w:val="24"/>
        </w:rPr>
      </w:pPr>
      <w:r>
        <w:rPr>
          <w:rFonts w:ascii="宋体" w:hAnsi="宋体" w:cs="Arial"/>
          <w:bCs/>
          <w:sz w:val="24"/>
        </w:rPr>
        <w:t>在开始办理基金份额申购或者赎回后，基金管理人应当在不晚于每个开放日的次日，通过规定网站、基金销售机构网站或者营业网点披露开放日的基金份额净值和基金份额累计净值。</w:t>
      </w:r>
    </w:p>
    <w:p w14:paraId="42A9E4D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基金管理人应当在不晚于半年度和年度最后一日的次日，在规定网站披露半年度和年度最后一日的基金份额净值和基金份额累计净值。</w:t>
      </w:r>
    </w:p>
    <w:p w14:paraId="0ABE0D1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（五）申购赎回清单</w:t>
      </w:r>
    </w:p>
    <w:p w14:paraId="3808E92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在开始办理基金份额申购或者赎回之后，基金管理人应当在每个开放日，通过规定网站、申购赎回代理券商或其他媒介公告当日的申购赎回清单。</w:t>
      </w:r>
    </w:p>
    <w:p w14:paraId="48E6113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（六）基金份额上市交易公告书</w:t>
      </w:r>
    </w:p>
    <w:p w14:paraId="3D2ED80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基金份额获准在证券交易所上市交易的，基金管理人应当在基金份额上市交易3个工作日前，将基金份额上市交易公告书登载在规定网站上，并将基金份额上市交易公告书提示性公告登载在规定报刊上。</w:t>
      </w:r>
    </w:p>
    <w:p w14:paraId="492239B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（七）基金份额申购、赎回对价</w:t>
      </w:r>
    </w:p>
    <w:p w14:paraId="410E068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基金管理人应当在基金合同、招募说明书等信息披露文件上载</w:t>
      </w:r>
      <w:proofErr w:type="gramStart"/>
      <w:r>
        <w:rPr>
          <w:rFonts w:ascii="宋体" w:hAnsi="宋体" w:cs="Arial"/>
          <w:bCs/>
          <w:sz w:val="24"/>
        </w:rPr>
        <w:t>明基金</w:t>
      </w:r>
      <w:proofErr w:type="gramEnd"/>
      <w:r>
        <w:rPr>
          <w:rFonts w:ascii="宋体" w:hAnsi="宋体" w:cs="Arial"/>
          <w:bCs/>
          <w:sz w:val="24"/>
        </w:rPr>
        <w:t>份额申购、赎回对价的计算方式及有关申购、赎回费率，并保证投资者能够在基金销售机构网站或者营业网点查阅或者复制前述信息资料。</w:t>
      </w:r>
    </w:p>
    <w:p w14:paraId="521CBD4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（八）基金份额折算日公告、基金份额折算结果公告</w:t>
      </w:r>
    </w:p>
    <w:p w14:paraId="3396705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基金合同生效后，本基金可以进行份额折算。基金管理人有权确定基金份额折算日，并提前公告。</w:t>
      </w:r>
    </w:p>
    <w:p w14:paraId="2D61674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基金份额进行折算并由登记结算机构完成基金份额的变更登记后，基金管理人应将基金份额折算结果公告登载于规定媒介上。</w:t>
      </w:r>
    </w:p>
    <w:p w14:paraId="0CC3807C"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（九）基金定期报告，包括基金年度报告、基金中期报告和基金季度报告</w:t>
      </w:r>
    </w:p>
    <w:p w14:paraId="4324D44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76F0DA0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基金管理人应当在上半年结束之日起两个月内，编制完成基金中期报告，将中期报告登载在规定网站上，并将中期报告提示性公告登载在规定报刊上。</w:t>
      </w:r>
    </w:p>
    <w:p w14:paraId="10E9DCE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基金管理人应当在季度结束之日起15个工作日内，编制完成基金季度报告，</w:t>
      </w:r>
      <w:bookmarkStart w:id="456" w:name="_Hlk21008019"/>
      <w:r>
        <w:rPr>
          <w:rFonts w:ascii="宋体" w:hAnsi="宋体" w:cs="Arial"/>
          <w:bCs/>
          <w:sz w:val="24"/>
        </w:rPr>
        <w:t>将季度报告登载在规定网站上，</w:t>
      </w:r>
      <w:bookmarkEnd w:id="456"/>
      <w:r>
        <w:rPr>
          <w:rFonts w:ascii="宋体" w:hAnsi="宋体" w:cs="Arial"/>
          <w:bCs/>
          <w:sz w:val="24"/>
        </w:rPr>
        <w:t>并将季度报告</w:t>
      </w:r>
      <w:bookmarkStart w:id="457" w:name="_Hlk21008023"/>
      <w:r>
        <w:rPr>
          <w:rFonts w:ascii="宋体" w:hAnsi="宋体" w:cs="Arial"/>
          <w:bCs/>
          <w:sz w:val="24"/>
        </w:rPr>
        <w:t>提示性公告</w:t>
      </w:r>
      <w:bookmarkEnd w:id="457"/>
      <w:r>
        <w:rPr>
          <w:rFonts w:ascii="宋体" w:hAnsi="宋体" w:cs="Arial"/>
          <w:bCs/>
          <w:sz w:val="24"/>
        </w:rPr>
        <w:t>登载在规定报刊上。</w:t>
      </w:r>
    </w:p>
    <w:p w14:paraId="76CD063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《基金合同》生效不足2个月的，基金管理人可以不编制当期季度报告、中期报告或者年度报告。</w:t>
      </w:r>
    </w:p>
    <w:p w14:paraId="3273C2C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1E03DD4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基金管理人应当在基金年度报告和中期报告中披露基金组合资产情况及其流动性风险分析等。</w:t>
      </w:r>
    </w:p>
    <w:p w14:paraId="154DB5B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（十）临时报告</w:t>
      </w:r>
    </w:p>
    <w:p w14:paraId="614189D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本基金发生重大事件，有关信息披露义务人应当依照《信息披露办法》的有关规定编制临时报告书，并登载在规定报刊和规定网站上。</w:t>
      </w:r>
    </w:p>
    <w:p w14:paraId="2A52052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前款所称重大事件，是指可能对基金份额持有人权益或者基金份额的价格产生重大影响的下列事件：</w:t>
      </w:r>
    </w:p>
    <w:p w14:paraId="279D63C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1、基金份额持有人大会的召开及决定的事项；</w:t>
      </w:r>
    </w:p>
    <w:p w14:paraId="5C0A316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2、基金终止上市交易、《基金合同》终止、基金清算；</w:t>
      </w:r>
    </w:p>
    <w:p w14:paraId="0E16CB7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3、本基金转换基金运作方式、与其他基金合并；</w:t>
      </w:r>
    </w:p>
    <w:p w14:paraId="1B873AF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4、本基金更换基金管理人、基金托管人、基金份额登记结算机构，本基金改聘会计师事务所；</w:t>
      </w:r>
    </w:p>
    <w:p w14:paraId="2DECEC5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5、基金管理人委托基金服务机构代为办理基金的份额登记、核算、估值等</w:t>
      </w:r>
      <w:r>
        <w:rPr>
          <w:rFonts w:ascii="宋体" w:hAnsi="宋体" w:cs="Arial"/>
          <w:bCs/>
          <w:sz w:val="24"/>
        </w:rPr>
        <w:lastRenderedPageBreak/>
        <w:t>事项，基金托管人委托基金服务机构代为办理基金的核算、估值、复核等事项；</w:t>
      </w:r>
    </w:p>
    <w:p w14:paraId="7532C52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6、基金管理人、基金托管人的法定名称、住所发生变更；</w:t>
      </w:r>
    </w:p>
    <w:p w14:paraId="37C342D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7、基金管理人变更持有百分之五以上股权的股东、变更基金管理人的实际控制人；</w:t>
      </w:r>
    </w:p>
    <w:p w14:paraId="58E6FBF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8、本基金募集期延长或提前结束募集；</w:t>
      </w:r>
    </w:p>
    <w:p w14:paraId="305CAA0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9、基金管理人高级管理人员、基金经理和基金托管人专门基金托管部门负责人发生变动；</w:t>
      </w:r>
    </w:p>
    <w:p w14:paraId="6DF418C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10、基金管理人的董事在最近12个月内变更超过百分之五十，基金管理人、基金托管人专门基金托管部门的主要业务人员在最近12个月内变动超过百分之三十；</w:t>
      </w:r>
    </w:p>
    <w:p w14:paraId="4867474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11、</w:t>
      </w:r>
      <w:r>
        <w:rPr>
          <w:rFonts w:ascii="宋体" w:hAnsi="宋体" w:cs="Arial"/>
          <w:bCs/>
          <w:color w:val="000000"/>
          <w:kern w:val="0"/>
          <w:sz w:val="24"/>
          <w:szCs w:val="24"/>
        </w:rPr>
        <w:t>涉及基金管理业务、基金财产、基金托管业务的诉讼或仲裁</w:t>
      </w:r>
      <w:r>
        <w:rPr>
          <w:rFonts w:ascii="宋体" w:hAnsi="宋体" w:cs="Arial"/>
          <w:bCs/>
          <w:sz w:val="24"/>
        </w:rPr>
        <w:t>；</w:t>
      </w:r>
    </w:p>
    <w:p w14:paraId="3D268FF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0B6DC56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0D3AF5F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14、本基金收益分配事项；</w:t>
      </w:r>
    </w:p>
    <w:p w14:paraId="29FB77C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15、管理费、托管费、申购费、赎回费等费用计提标准、计提方式和费率发生变更；</w:t>
      </w:r>
    </w:p>
    <w:p w14:paraId="2F2FB03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16、基金份额净值计价错误</w:t>
      </w:r>
      <w:proofErr w:type="gramStart"/>
      <w:r>
        <w:rPr>
          <w:rFonts w:ascii="宋体" w:hAnsi="宋体" w:cs="Arial"/>
          <w:bCs/>
          <w:sz w:val="24"/>
        </w:rPr>
        <w:t>达基金</w:t>
      </w:r>
      <w:proofErr w:type="gramEnd"/>
      <w:r>
        <w:rPr>
          <w:rFonts w:ascii="宋体" w:hAnsi="宋体" w:cs="Arial"/>
          <w:bCs/>
          <w:sz w:val="24"/>
        </w:rPr>
        <w:t>份额净值百分之零点五；</w:t>
      </w:r>
    </w:p>
    <w:p w14:paraId="5388F9E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17、本基金开始办理申购、赎回；</w:t>
      </w:r>
    </w:p>
    <w:p w14:paraId="48E8531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18、本基金暂停接受申购、赎回申请或重新接受申购、赎回申请；</w:t>
      </w:r>
    </w:p>
    <w:p w14:paraId="13C92F7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19、本基金变更标的指数；</w:t>
      </w:r>
    </w:p>
    <w:p w14:paraId="282FB1D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20、基金份额停牌、复牌或终止上市交易；</w:t>
      </w:r>
    </w:p>
    <w:p w14:paraId="48C6605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21、本基金实施基金份额折算；</w:t>
      </w:r>
    </w:p>
    <w:p w14:paraId="7D6BD92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22、发生涉及基金申购、赎回事项调整或潜在影响投资者赎回等重大事项时；</w:t>
      </w:r>
    </w:p>
    <w:p w14:paraId="2D759EC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23、调整最小申购赎回单位、申购赎回方式及申购对价、赎回对价组成；</w:t>
      </w:r>
    </w:p>
    <w:p w14:paraId="145A1A2F"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24、调整基金份额类别的设置；</w:t>
      </w:r>
    </w:p>
    <w:p w14:paraId="5FAB2C4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25、基金推出新业务或服务；</w:t>
      </w:r>
    </w:p>
    <w:p w14:paraId="44CE8A4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26、基金信息披露义务人认为可能对基金份额持有人权益或者基金份额的价格产生重大影响的其他事项或中国证监会规定的其他事项。</w:t>
      </w:r>
    </w:p>
    <w:p w14:paraId="429B30D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（十一）澄清公告</w:t>
      </w:r>
    </w:p>
    <w:p w14:paraId="56AC7AC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31EFB8C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（十二）基金份额持有人大会决议</w:t>
      </w:r>
    </w:p>
    <w:p w14:paraId="54908DD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基金份额持有人大会决定的事项，应当依法报</w:t>
      </w:r>
      <w:r>
        <w:rPr>
          <w:rFonts w:ascii="宋体" w:hAnsi="宋体" w:cs="Arial"/>
          <w:bCs/>
          <w:sz w:val="24"/>
          <w:szCs w:val="24"/>
        </w:rPr>
        <w:t>中国证监会</w:t>
      </w:r>
      <w:r>
        <w:rPr>
          <w:rFonts w:ascii="宋体" w:hAnsi="宋体" w:cs="Arial"/>
          <w:bCs/>
          <w:sz w:val="24"/>
        </w:rPr>
        <w:t>备案，并予以公告。</w:t>
      </w:r>
    </w:p>
    <w:p w14:paraId="489F8D36" w14:textId="77777777" w:rsidR="00C52815" w:rsidRDefault="005C44F4">
      <w:pPr>
        <w:spacing w:line="360" w:lineRule="auto"/>
        <w:ind w:firstLineChars="200" w:firstLine="480"/>
        <w:rPr>
          <w:rFonts w:ascii="宋体" w:hAnsi="宋体" w:cs="Arial"/>
          <w:bCs/>
          <w:sz w:val="24"/>
        </w:rPr>
      </w:pPr>
      <w:bookmarkStart w:id="458" w:name="_Hlk21036927"/>
      <w:bookmarkStart w:id="459" w:name="_Hlk21198265"/>
      <w:r>
        <w:rPr>
          <w:rFonts w:ascii="宋体" w:hAnsi="宋体" w:cs="Arial"/>
          <w:bCs/>
          <w:sz w:val="24"/>
        </w:rPr>
        <w:t>（十三）清算报告</w:t>
      </w:r>
    </w:p>
    <w:p w14:paraId="2BF92B5B" w14:textId="1FAA3A7E" w:rsidR="00C52815" w:rsidRDefault="009A6E4A">
      <w:pPr>
        <w:spacing w:line="360" w:lineRule="auto"/>
        <w:ind w:firstLineChars="200" w:firstLine="480"/>
        <w:rPr>
          <w:rFonts w:ascii="宋体" w:hAnsi="宋体" w:cs="Arial"/>
          <w:bCs/>
          <w:sz w:val="24"/>
        </w:rPr>
      </w:pPr>
      <w:r>
        <w:rPr>
          <w:rFonts w:ascii="宋体" w:hAnsi="宋体" w:cs="Arial" w:hint="eastAsia"/>
          <w:bCs/>
          <w:sz w:val="24"/>
        </w:rPr>
        <w:t>发生</w:t>
      </w:r>
      <w:r w:rsidR="005C44F4">
        <w:rPr>
          <w:rFonts w:ascii="宋体" w:hAnsi="宋体" w:cs="Arial"/>
          <w:bCs/>
          <w:sz w:val="24"/>
        </w:rPr>
        <w:t>基金合同终止</w:t>
      </w:r>
      <w:r>
        <w:rPr>
          <w:rFonts w:ascii="宋体" w:hAnsi="宋体" w:cs="Arial" w:hint="eastAsia"/>
          <w:bCs/>
          <w:sz w:val="24"/>
        </w:rPr>
        <w:t>事由</w:t>
      </w:r>
      <w:r w:rsidR="005C44F4">
        <w:rPr>
          <w:rFonts w:ascii="宋体" w:hAnsi="宋体" w:cs="Arial"/>
          <w:bCs/>
          <w:sz w:val="24"/>
        </w:rPr>
        <w:t>的，基金管理人应当依法组织基金财产清算小组对基金财产进行清算并</w:t>
      </w:r>
      <w:proofErr w:type="gramStart"/>
      <w:r w:rsidR="005C44F4">
        <w:rPr>
          <w:rFonts w:ascii="宋体" w:hAnsi="宋体" w:cs="Arial"/>
          <w:bCs/>
          <w:sz w:val="24"/>
        </w:rPr>
        <w:t>作出</w:t>
      </w:r>
      <w:proofErr w:type="gramEnd"/>
      <w:r w:rsidR="005C44F4">
        <w:rPr>
          <w:rFonts w:ascii="宋体" w:hAnsi="宋体" w:cs="Arial"/>
          <w:bCs/>
          <w:sz w:val="24"/>
        </w:rPr>
        <w:t>清算报告。基金财产清算小组应当将清算报告登载在规定网站上，并将清算报告提示性公告登载在规定报刊上。</w:t>
      </w:r>
      <w:bookmarkEnd w:id="458"/>
      <w:bookmarkEnd w:id="459"/>
    </w:p>
    <w:p w14:paraId="4EAF9CB2" w14:textId="4F573B76" w:rsidR="00C52815" w:rsidRDefault="005C44F4">
      <w:pPr>
        <w:spacing w:line="360" w:lineRule="auto"/>
        <w:ind w:firstLineChars="200" w:firstLine="480"/>
        <w:rPr>
          <w:rFonts w:ascii="宋体" w:hAnsi="宋体" w:cs="Arial"/>
          <w:bCs/>
          <w:sz w:val="24"/>
        </w:rPr>
      </w:pPr>
      <w:r>
        <w:rPr>
          <w:rFonts w:ascii="宋体" w:hAnsi="宋体" w:cs="Arial"/>
          <w:bCs/>
          <w:sz w:val="24"/>
        </w:rPr>
        <w:t>（十</w:t>
      </w:r>
      <w:r w:rsidR="001B2060">
        <w:rPr>
          <w:rFonts w:ascii="宋体" w:hAnsi="宋体" w:cs="Arial" w:hint="eastAsia"/>
          <w:bCs/>
          <w:sz w:val="24"/>
        </w:rPr>
        <w:t>四</w:t>
      </w:r>
      <w:r>
        <w:rPr>
          <w:rFonts w:ascii="宋体" w:hAnsi="宋体" w:cs="Arial"/>
          <w:bCs/>
          <w:sz w:val="24"/>
        </w:rPr>
        <w:t>）</w:t>
      </w:r>
      <w:r>
        <w:rPr>
          <w:rFonts w:ascii="宋体" w:hAnsi="宋体" w:cs="Arial" w:hint="eastAsia"/>
          <w:bCs/>
          <w:sz w:val="24"/>
        </w:rPr>
        <w:t>港股通标的股票的投资情况</w:t>
      </w:r>
    </w:p>
    <w:p w14:paraId="421B356D" w14:textId="77777777" w:rsidR="00C52815" w:rsidRDefault="005C44F4">
      <w:pPr>
        <w:spacing w:line="360" w:lineRule="auto"/>
        <w:ind w:firstLineChars="200" w:firstLine="480"/>
        <w:rPr>
          <w:rFonts w:ascii="宋体" w:hAnsi="宋体"/>
          <w:bCs/>
          <w:sz w:val="24"/>
          <w:szCs w:val="24"/>
        </w:rPr>
      </w:pPr>
      <w:r>
        <w:rPr>
          <w:rFonts w:ascii="宋体" w:hAnsi="宋体" w:hint="eastAsia"/>
          <w:bCs/>
          <w:sz w:val="24"/>
          <w:szCs w:val="24"/>
        </w:rPr>
        <w:t>基金管理人应当在季度报告、中期报告、年度报告等定期报告和招募说明书（更新）等文件中披露参与港股通标的股票交易的相关情况。</w:t>
      </w:r>
    </w:p>
    <w:p w14:paraId="28DD6B7E" w14:textId="56F7A9D0" w:rsidR="00C52815" w:rsidRDefault="005C44F4">
      <w:pPr>
        <w:spacing w:line="360" w:lineRule="auto"/>
        <w:ind w:firstLineChars="200" w:firstLine="480"/>
        <w:rPr>
          <w:rFonts w:ascii="宋体" w:hAnsi="宋体" w:cs="Arial"/>
          <w:bCs/>
          <w:sz w:val="24"/>
        </w:rPr>
      </w:pPr>
      <w:r>
        <w:rPr>
          <w:rFonts w:ascii="宋体" w:hAnsi="宋体" w:hint="eastAsia"/>
          <w:bCs/>
          <w:sz w:val="24"/>
          <w:szCs w:val="24"/>
        </w:rPr>
        <w:t>（十</w:t>
      </w:r>
      <w:r w:rsidR="001B2060">
        <w:rPr>
          <w:rFonts w:ascii="宋体" w:hAnsi="宋体" w:hint="eastAsia"/>
          <w:bCs/>
          <w:sz w:val="24"/>
          <w:szCs w:val="24"/>
        </w:rPr>
        <w:t>五</w:t>
      </w:r>
      <w:r>
        <w:rPr>
          <w:rFonts w:ascii="宋体" w:hAnsi="宋体" w:hint="eastAsia"/>
          <w:bCs/>
          <w:sz w:val="24"/>
          <w:szCs w:val="24"/>
        </w:rPr>
        <w:t>）</w:t>
      </w:r>
      <w:r>
        <w:rPr>
          <w:rFonts w:ascii="宋体" w:hAnsi="宋体" w:cs="Arial"/>
          <w:bCs/>
          <w:sz w:val="24"/>
        </w:rPr>
        <w:t>中国证监会规定的其他信息</w:t>
      </w:r>
    </w:p>
    <w:p w14:paraId="60E60D50" w14:textId="77777777" w:rsidR="00891B18" w:rsidRDefault="001B2060" w:rsidP="001B2060">
      <w:pPr>
        <w:spacing w:line="360" w:lineRule="auto"/>
        <w:ind w:firstLineChars="200" w:firstLine="480"/>
        <w:rPr>
          <w:rFonts w:ascii="宋体" w:hAnsi="宋体" w:cs="Arial"/>
          <w:bCs/>
          <w:sz w:val="24"/>
        </w:rPr>
      </w:pPr>
      <w:r w:rsidRPr="00DB563B">
        <w:rPr>
          <w:rFonts w:ascii="宋体" w:hAnsi="宋体" w:cs="Arial" w:hint="eastAsia"/>
          <w:bCs/>
          <w:sz w:val="24"/>
        </w:rPr>
        <w:t>若本基金投资股指期货、国债期货、资产支持证券、股票期权、参与融资及转融通证券出借业务，基金管理人将按相关法律法规要求进行披露。</w:t>
      </w:r>
    </w:p>
    <w:p w14:paraId="60391B22" w14:textId="74999DAF" w:rsidR="001B2060" w:rsidRDefault="001B2060" w:rsidP="001B2060">
      <w:pPr>
        <w:spacing w:line="360" w:lineRule="auto"/>
        <w:ind w:firstLineChars="200" w:firstLine="480"/>
        <w:rPr>
          <w:rFonts w:ascii="宋体" w:hAnsi="宋体" w:cs="Arial"/>
          <w:bCs/>
          <w:sz w:val="24"/>
        </w:rPr>
      </w:pPr>
      <w:proofErr w:type="gramStart"/>
      <w:r w:rsidRPr="00DB563B">
        <w:rPr>
          <w:rFonts w:ascii="宋体" w:hAnsi="宋体" w:cs="Arial" w:hint="eastAsia"/>
          <w:bCs/>
          <w:sz w:val="24"/>
        </w:rPr>
        <w:t>当相关</w:t>
      </w:r>
      <w:proofErr w:type="gramEnd"/>
      <w:r w:rsidRPr="00DB563B">
        <w:rPr>
          <w:rFonts w:ascii="宋体" w:hAnsi="宋体" w:cs="Arial" w:hint="eastAsia"/>
          <w:bCs/>
          <w:sz w:val="24"/>
        </w:rPr>
        <w:t>法律法规关于上述信息披露的规定发生变化时，基金管理人将按最新规定进行信息披露。</w:t>
      </w:r>
    </w:p>
    <w:p w14:paraId="517192E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六、信息披露事务管理</w:t>
      </w:r>
    </w:p>
    <w:p w14:paraId="0D1D380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基金管理人、基金托管人应当建立健全信息披露管理制度，指定专门部门及高级管理人员负责管理信息披露事务。</w:t>
      </w:r>
    </w:p>
    <w:p w14:paraId="34FB406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基金信息披露义务人公开披露基金信息，应当符合中国证监会相关基金信息披露内容与格式准则等法规的规定。</w:t>
      </w:r>
    </w:p>
    <w:p w14:paraId="25E2A3C9" w14:textId="37054F33"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基金托管人应当按照相关法律法规、中国证监会的规定和《基金合同》的约定，对基金管理人编制的基金净值信息、</w:t>
      </w:r>
      <w:r w:rsidR="001841E7">
        <w:rPr>
          <w:rFonts w:ascii="宋体" w:hAnsi="宋体" w:cs="Arial" w:hint="eastAsia"/>
          <w:bCs/>
          <w:sz w:val="24"/>
        </w:rPr>
        <w:t>基金申购赎回对价</w:t>
      </w:r>
      <w:r w:rsidR="00E83231">
        <w:rPr>
          <w:rFonts w:ascii="宋体" w:hAnsi="宋体" w:cs="Arial" w:hint="eastAsia"/>
          <w:bCs/>
          <w:sz w:val="24"/>
        </w:rPr>
        <w:t>的现金部分</w:t>
      </w:r>
      <w:r w:rsidR="001841E7">
        <w:rPr>
          <w:rFonts w:ascii="宋体" w:hAnsi="宋体" w:cs="Arial" w:hint="eastAsia"/>
          <w:bCs/>
          <w:sz w:val="24"/>
        </w:rPr>
        <w:t>、</w:t>
      </w:r>
      <w:r>
        <w:rPr>
          <w:rFonts w:ascii="宋体" w:hAnsi="宋体" w:cs="Arial"/>
          <w:bCs/>
          <w:sz w:val="24"/>
        </w:rPr>
        <w:t>基金定期报告、更新的招募说明书、基金产品资料概要、基金清算报告等公开披露的相关基金信息进行复核、审查，并向基金管理人进行书面或电子确认。</w:t>
      </w:r>
    </w:p>
    <w:p w14:paraId="02B20CD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03A478F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基金托管人除依法在规定媒介上披露信息外，还可以根据需要在其他公共媒介披露信息，但是其他公共媒介不得早于规定媒介、基金上市交易的证券交易所网站披露信息，并且在不同媒介上披露同一信息的内容应当一致。</w:t>
      </w:r>
    </w:p>
    <w:p w14:paraId="57C261AB" w14:textId="77777777" w:rsidR="00C52815" w:rsidRDefault="005C44F4">
      <w:pPr>
        <w:spacing w:line="360" w:lineRule="auto"/>
        <w:ind w:firstLineChars="200" w:firstLine="480"/>
        <w:rPr>
          <w:rFonts w:ascii="宋体" w:hAnsi="宋体"/>
          <w:bCs/>
          <w:sz w:val="24"/>
        </w:rPr>
      </w:pPr>
      <w:r>
        <w:rPr>
          <w:rFonts w:ascii="宋体" w:hAnsi="宋体" w:cs="Arial"/>
          <w:bCs/>
          <w:sz w:val="24"/>
        </w:rPr>
        <w:t>为基金信息披露义务人公开披露的基金信息出具审计报告、法律意见书的专业机构，应当制作工作底稿，</w:t>
      </w:r>
      <w:r>
        <w:rPr>
          <w:rFonts w:ascii="宋体" w:hAnsi="宋体" w:hint="eastAsia"/>
          <w:bCs/>
          <w:sz w:val="24"/>
        </w:rPr>
        <w:t>相关档案的保存期限不低于法律法规规定的最低年限。</w:t>
      </w:r>
    </w:p>
    <w:p w14:paraId="5729D33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基金管理人、基金托管人除按法律法规要求披露信息外，也可着眼于为投资者决策提供有用信息的角度，在保证公平对待投资者、</w:t>
      </w:r>
      <w:proofErr w:type="gramStart"/>
      <w:r>
        <w:rPr>
          <w:rFonts w:ascii="宋体" w:hAnsi="宋体" w:cs="Arial"/>
          <w:bCs/>
          <w:sz w:val="24"/>
        </w:rPr>
        <w:t>不</w:t>
      </w:r>
      <w:proofErr w:type="gramEnd"/>
      <w:r>
        <w:rPr>
          <w:rFonts w:ascii="宋体" w:hAnsi="宋体" w:cs="Arial"/>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7A98204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七、信息披露文件的存放与查阅</w:t>
      </w:r>
    </w:p>
    <w:p w14:paraId="391AE19D" w14:textId="61BC2646" w:rsidR="00C52815" w:rsidRDefault="005C44F4">
      <w:pPr>
        <w:spacing w:line="360" w:lineRule="auto"/>
        <w:ind w:firstLineChars="200" w:firstLine="480"/>
        <w:rPr>
          <w:rFonts w:ascii="宋体" w:hAnsi="宋体" w:cs="Arial"/>
          <w:bCs/>
          <w:sz w:val="24"/>
        </w:rPr>
      </w:pPr>
      <w:r>
        <w:rPr>
          <w:rFonts w:ascii="宋体" w:hAnsi="宋体" w:cs="Arial"/>
          <w:bCs/>
          <w:sz w:val="24"/>
        </w:rPr>
        <w:t>依法必须披露的信息发布后，基金管理人、基金托管人应当按照相关法律法规规定将信息置备于</w:t>
      </w:r>
      <w:r w:rsidR="00823D8B">
        <w:rPr>
          <w:rFonts w:ascii="宋体" w:hAnsi="宋体" w:cs="Arial" w:hint="eastAsia"/>
          <w:bCs/>
          <w:sz w:val="24"/>
        </w:rPr>
        <w:t>公司</w:t>
      </w:r>
      <w:r>
        <w:rPr>
          <w:rFonts w:ascii="宋体" w:hAnsi="宋体" w:cs="Arial"/>
          <w:bCs/>
          <w:sz w:val="24"/>
        </w:rPr>
        <w:t>住所、基金上市交易的证券交易所，供社会公众查阅、复制。</w:t>
      </w:r>
    </w:p>
    <w:p w14:paraId="574E2943" w14:textId="77777777" w:rsidR="00C52815" w:rsidRDefault="005C44F4">
      <w:pPr>
        <w:spacing w:line="360" w:lineRule="auto"/>
        <w:ind w:firstLineChars="200" w:firstLine="480"/>
        <w:rPr>
          <w:rFonts w:ascii="宋体" w:hAnsi="宋体" w:cs="Arial"/>
          <w:bCs/>
          <w:sz w:val="24"/>
        </w:rPr>
      </w:pPr>
      <w:bookmarkStart w:id="460" w:name="_Toc11113"/>
      <w:r>
        <w:rPr>
          <w:rFonts w:ascii="宋体" w:hAnsi="宋体" w:cs="Arial"/>
          <w:bCs/>
          <w:sz w:val="24"/>
        </w:rPr>
        <w:t>八、暂停或延迟信息披露的情形</w:t>
      </w:r>
    </w:p>
    <w:p w14:paraId="6C91D86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当出现下述情况之一时，基金管理人和基金托管人可暂停或延迟披露基金信息：</w:t>
      </w:r>
    </w:p>
    <w:p w14:paraId="3227412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1、基金投资所涉及的证券、期货交易所</w:t>
      </w:r>
      <w:r>
        <w:rPr>
          <w:rFonts w:ascii="宋体" w:hAnsi="宋体" w:cs="Arial" w:hint="eastAsia"/>
          <w:bCs/>
          <w:sz w:val="24"/>
        </w:rPr>
        <w:t>或外汇市场</w:t>
      </w:r>
      <w:r>
        <w:rPr>
          <w:rFonts w:ascii="宋体" w:hAnsi="宋体" w:cs="Arial"/>
          <w:bCs/>
          <w:sz w:val="24"/>
        </w:rPr>
        <w:t>遇法定节假日或因其他原因暂停营业时；</w:t>
      </w:r>
    </w:p>
    <w:p w14:paraId="26FA6FD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2、因不可抗力或其他情形致使基金管理人、基金托管人无法准确评估基金</w:t>
      </w:r>
      <w:r>
        <w:rPr>
          <w:rFonts w:ascii="宋体" w:hAnsi="宋体" w:cs="Arial"/>
          <w:bCs/>
          <w:sz w:val="24"/>
        </w:rPr>
        <w:lastRenderedPageBreak/>
        <w:t>资产价值时；</w:t>
      </w:r>
    </w:p>
    <w:p w14:paraId="70A2928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3、法律法规规定、中国证监会或基金合同认定的其他情形。</w:t>
      </w:r>
    </w:p>
    <w:p w14:paraId="27DC410D" w14:textId="77777777" w:rsidR="00C52815" w:rsidRDefault="00C52815">
      <w:pPr>
        <w:spacing w:line="360" w:lineRule="auto"/>
        <w:ind w:firstLineChars="200" w:firstLine="480"/>
        <w:rPr>
          <w:rFonts w:ascii="宋体" w:hAnsi="宋体" w:cs="Arial"/>
          <w:bCs/>
          <w:sz w:val="24"/>
        </w:rPr>
      </w:pPr>
    </w:p>
    <w:p w14:paraId="47B85AE0" w14:textId="77777777" w:rsidR="00C52815" w:rsidRDefault="005C44F4">
      <w:pPr>
        <w:pStyle w:val="1"/>
        <w:spacing w:before="0" w:after="0"/>
        <w:jc w:val="center"/>
        <w:rPr>
          <w:rFonts w:hAnsi="宋体" w:cs="Arial"/>
          <w:color w:val="auto"/>
          <w:sz w:val="30"/>
        </w:rPr>
      </w:pPr>
      <w:r>
        <w:rPr>
          <w:rFonts w:hAnsi="宋体" w:cs="Arial"/>
          <w:b w:val="0"/>
          <w:bCs/>
          <w:color w:val="auto"/>
          <w:kern w:val="44"/>
          <w:sz w:val="21"/>
        </w:rPr>
        <w:br w:type="page"/>
      </w:r>
      <w:bookmarkStart w:id="461" w:name="_Toc8049"/>
      <w:bookmarkStart w:id="462" w:name="_Toc29980"/>
      <w:bookmarkStart w:id="463" w:name="_Toc139991749"/>
      <w:bookmarkStart w:id="464" w:name="_Toc25647"/>
      <w:bookmarkStart w:id="465" w:name="_Toc22002"/>
      <w:bookmarkStart w:id="466" w:name="_Toc21432"/>
      <w:bookmarkStart w:id="467" w:name="_Toc29891"/>
      <w:bookmarkStart w:id="468" w:name="_Toc114406686"/>
      <w:bookmarkStart w:id="469" w:name="_Toc27464"/>
      <w:bookmarkStart w:id="470" w:name="_Toc22978"/>
      <w:bookmarkStart w:id="471" w:name="_Toc123102466"/>
      <w:bookmarkStart w:id="472" w:name="_Toc7170"/>
      <w:bookmarkStart w:id="473" w:name="_Toc8059"/>
      <w:bookmarkStart w:id="474" w:name="_Toc141703899"/>
      <w:bookmarkStart w:id="475" w:name="_Toc10006"/>
      <w:bookmarkStart w:id="476" w:name="_Toc9005"/>
      <w:bookmarkStart w:id="477" w:name="_Toc6237"/>
      <w:bookmarkStart w:id="478" w:name="_Toc123051465"/>
      <w:bookmarkStart w:id="479" w:name="_Toc123112247"/>
      <w:bookmarkStart w:id="480" w:name="_Toc98560364"/>
      <w:r>
        <w:rPr>
          <w:rFonts w:hAnsi="宋体" w:cs="Arial"/>
          <w:color w:val="auto"/>
          <w:sz w:val="30"/>
        </w:rPr>
        <w:lastRenderedPageBreak/>
        <w:t xml:space="preserve">第二十部分  </w:t>
      </w:r>
      <w:bookmarkStart w:id="481" w:name="_Hlt88828593"/>
      <w:r>
        <w:rPr>
          <w:rFonts w:hAnsi="宋体" w:cs="Arial"/>
          <w:color w:val="auto"/>
          <w:sz w:val="30"/>
        </w:rPr>
        <w:t>基金合同</w:t>
      </w:r>
      <w:bookmarkEnd w:id="481"/>
      <w:r>
        <w:rPr>
          <w:rFonts w:hAnsi="宋体" w:cs="Arial"/>
          <w:color w:val="auto"/>
          <w:sz w:val="30"/>
        </w:rPr>
        <w:t>的变更、终止与基金财产的清算</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06832456" w14:textId="77777777" w:rsidR="00C52815" w:rsidRDefault="00C52815">
      <w:pPr>
        <w:spacing w:line="360" w:lineRule="auto"/>
        <w:ind w:firstLineChars="200" w:firstLine="480"/>
        <w:rPr>
          <w:rFonts w:ascii="宋体" w:hAnsi="宋体" w:cs="Arial"/>
          <w:bCs/>
          <w:sz w:val="24"/>
        </w:rPr>
      </w:pPr>
    </w:p>
    <w:p w14:paraId="7015AC5D" w14:textId="77777777" w:rsidR="00C52815" w:rsidRDefault="005C44F4">
      <w:pPr>
        <w:spacing w:line="360" w:lineRule="auto"/>
        <w:ind w:firstLineChars="200" w:firstLine="480"/>
        <w:rPr>
          <w:rFonts w:ascii="宋体" w:hAnsi="宋体" w:cs="Arial"/>
          <w:bCs/>
          <w:sz w:val="24"/>
        </w:rPr>
      </w:pPr>
      <w:bookmarkStart w:id="482" w:name="_Toc79392639"/>
      <w:r>
        <w:rPr>
          <w:rFonts w:ascii="宋体" w:hAnsi="宋体" w:cs="Arial"/>
          <w:bCs/>
          <w:sz w:val="24"/>
        </w:rPr>
        <w:t>一、《基金合同》的变更</w:t>
      </w:r>
      <w:bookmarkEnd w:id="482"/>
    </w:p>
    <w:p w14:paraId="0A8263AD" w14:textId="0A1547F7" w:rsidR="00C52815" w:rsidRDefault="005C44F4">
      <w:pPr>
        <w:autoSpaceDE w:val="0"/>
        <w:autoSpaceDN w:val="0"/>
        <w:adjustRightInd w:val="0"/>
        <w:spacing w:line="360" w:lineRule="auto"/>
        <w:ind w:firstLineChars="200" w:firstLine="480"/>
        <w:jc w:val="left"/>
        <w:rPr>
          <w:rFonts w:ascii="宋体" w:hAnsi="宋体" w:cs="Arial"/>
          <w:bCs/>
          <w:sz w:val="24"/>
        </w:rPr>
      </w:pPr>
      <w:r>
        <w:rPr>
          <w:rFonts w:ascii="宋体" w:hAnsi="宋体" w:cs="Arial"/>
          <w:bCs/>
          <w:sz w:val="24"/>
        </w:rPr>
        <w:t>1、变更基金合同涉及法律法规规定或本基金合同约定应经基金份额持有人大会决议通过的事项的，应召</w:t>
      </w:r>
      <w:proofErr w:type="gramStart"/>
      <w:r>
        <w:rPr>
          <w:rFonts w:ascii="宋体" w:hAnsi="宋体" w:cs="Arial"/>
          <w:bCs/>
          <w:sz w:val="24"/>
        </w:rPr>
        <w:t>开基金</w:t>
      </w:r>
      <w:proofErr w:type="gramEnd"/>
      <w:r>
        <w:rPr>
          <w:rFonts w:ascii="宋体" w:hAnsi="宋体" w:cs="Arial"/>
          <w:bCs/>
          <w:sz w:val="24"/>
        </w:rPr>
        <w:t>份额持有人大会决议通过。对于法律法规规定和基金合同约定可不经基金份额持有人大会决议通过的事项，由基金管理人和基金托管人同意</w:t>
      </w:r>
      <w:r w:rsidR="007C06DD">
        <w:rPr>
          <w:rFonts w:ascii="宋体" w:hAnsi="宋体" w:cs="Arial" w:hint="eastAsia"/>
          <w:bCs/>
          <w:sz w:val="24"/>
        </w:rPr>
        <w:t>，</w:t>
      </w:r>
      <w:r w:rsidR="007C06DD">
        <w:rPr>
          <w:rFonts w:hint="eastAsia"/>
          <w:bCs/>
          <w:sz w:val="24"/>
        </w:rPr>
        <w:t>在履行适当程序</w:t>
      </w:r>
      <w:r>
        <w:rPr>
          <w:rFonts w:ascii="宋体" w:hAnsi="宋体" w:cs="Arial"/>
          <w:bCs/>
          <w:sz w:val="24"/>
        </w:rPr>
        <w:t>后变更并公告。</w:t>
      </w:r>
    </w:p>
    <w:p w14:paraId="473688F0" w14:textId="6D767DDC" w:rsidR="00C52815" w:rsidRDefault="005C44F4">
      <w:pPr>
        <w:spacing w:line="360" w:lineRule="auto"/>
        <w:ind w:firstLineChars="200" w:firstLine="480"/>
        <w:rPr>
          <w:rFonts w:ascii="宋体" w:hAnsi="宋体" w:cs="Arial"/>
          <w:bCs/>
          <w:sz w:val="24"/>
        </w:rPr>
      </w:pPr>
      <w:r>
        <w:rPr>
          <w:rFonts w:ascii="宋体" w:hAnsi="宋体" w:cs="Arial"/>
          <w:bCs/>
          <w:sz w:val="24"/>
        </w:rPr>
        <w:t>2、关于《基金合同》变更的基金份额持有人大会决议自通过之日起生效，</w:t>
      </w:r>
      <w:r w:rsidR="00774338">
        <w:rPr>
          <w:bCs/>
          <w:sz w:val="24"/>
        </w:rPr>
        <w:t>该决议应报中国证监会备案</w:t>
      </w:r>
      <w:r w:rsidR="00774338">
        <w:rPr>
          <w:rFonts w:ascii="宋体" w:hAnsi="宋体" w:cs="Arial" w:hint="eastAsia"/>
          <w:bCs/>
          <w:sz w:val="24"/>
        </w:rPr>
        <w:t>。</w:t>
      </w:r>
      <w:r>
        <w:rPr>
          <w:rFonts w:ascii="宋体" w:hAnsi="宋体" w:cs="Arial"/>
          <w:bCs/>
          <w:sz w:val="24"/>
        </w:rPr>
        <w:t>信息披露义务人应</w:t>
      </w:r>
      <w:proofErr w:type="gramStart"/>
      <w:r>
        <w:rPr>
          <w:rFonts w:ascii="宋体" w:hAnsi="宋体" w:cs="Arial"/>
          <w:bCs/>
          <w:sz w:val="24"/>
        </w:rPr>
        <w:t>自决议</w:t>
      </w:r>
      <w:proofErr w:type="gramEnd"/>
      <w:r>
        <w:rPr>
          <w:rFonts w:ascii="宋体" w:hAnsi="宋体" w:cs="Arial"/>
          <w:bCs/>
          <w:sz w:val="24"/>
        </w:rPr>
        <w:t>生效后依照《信息披露办法》的有关规定在规定媒介公告。</w:t>
      </w:r>
    </w:p>
    <w:p w14:paraId="123035A8" w14:textId="77777777" w:rsidR="00C52815" w:rsidRDefault="005C44F4">
      <w:pPr>
        <w:spacing w:line="360" w:lineRule="auto"/>
        <w:ind w:firstLineChars="200" w:firstLine="480"/>
        <w:rPr>
          <w:rFonts w:ascii="宋体" w:hAnsi="宋体" w:cs="Arial"/>
          <w:sz w:val="24"/>
        </w:rPr>
      </w:pPr>
      <w:r>
        <w:rPr>
          <w:rFonts w:ascii="宋体" w:hAnsi="宋体" w:cs="Arial"/>
          <w:sz w:val="24"/>
        </w:rPr>
        <w:t>二、《基金合同》的终止事由</w:t>
      </w:r>
    </w:p>
    <w:p w14:paraId="5E87390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有下列情形之一的，经履行相关程序后，《基金合同》应当终止：</w:t>
      </w:r>
    </w:p>
    <w:p w14:paraId="04A3E14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1、基金份额持有人大会决定终止的；</w:t>
      </w:r>
    </w:p>
    <w:p w14:paraId="1E06B79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2、基金管理人、基金托管人职责终止，在6个月内没有新基金管理人、新基金托管人承接的；</w:t>
      </w:r>
    </w:p>
    <w:p w14:paraId="02BED2D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6DAA21B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4、《基金合同》约定的其他情形；</w:t>
      </w:r>
    </w:p>
    <w:p w14:paraId="32DB82F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5、相关法律法规和中国证监会规定的其他情况。</w:t>
      </w:r>
    </w:p>
    <w:p w14:paraId="2A3CB58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三、基金财产的清算</w:t>
      </w:r>
    </w:p>
    <w:p w14:paraId="760C7D1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1、基金财产清算小组：自出现《基金合同》终止事由之日起30个工作日内成立</w:t>
      </w:r>
      <w:r>
        <w:rPr>
          <w:rFonts w:ascii="宋体" w:hAnsi="宋体" w:cs="Arial" w:hint="eastAsia"/>
          <w:bCs/>
          <w:sz w:val="24"/>
        </w:rPr>
        <w:t>基金财产</w:t>
      </w:r>
      <w:r>
        <w:rPr>
          <w:rFonts w:ascii="宋体" w:hAnsi="宋体" w:cs="Arial"/>
          <w:bCs/>
          <w:sz w:val="24"/>
        </w:rPr>
        <w:t>清算小组，基金管理人组织基金财产清算小组并在中国证监会的监督下进行基金清算。</w:t>
      </w:r>
    </w:p>
    <w:p w14:paraId="5827CA0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w:t>
      </w:r>
      <w:r>
        <w:rPr>
          <w:rFonts w:ascii="宋体" w:hAnsi="宋体" w:cs="Arial"/>
          <w:kern w:val="0"/>
          <w:sz w:val="24"/>
        </w:rPr>
        <w:t>在基金财产清算小组接管基金财产之前，基金管理人和基金托管人应按照基金合同和托管协议的规定继续履行保护基金财产安全的职责。</w:t>
      </w:r>
    </w:p>
    <w:p w14:paraId="097E2CF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3、基金财产清算小组组成：基金财产清算小组成员由基金管理人、基金托管人、符合《中华人民共和国证券法》规定的注册会计师、律师组成。基金财</w:t>
      </w:r>
      <w:r>
        <w:rPr>
          <w:rFonts w:ascii="宋体" w:hAnsi="宋体" w:cs="Arial"/>
          <w:bCs/>
          <w:sz w:val="24"/>
        </w:rPr>
        <w:lastRenderedPageBreak/>
        <w:t>产清算小组可以聘用必要的工作人员。</w:t>
      </w:r>
    </w:p>
    <w:p w14:paraId="488F989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4、基金财产清算小组职责：基金财产清算小组负责基金财产的保管、清理、估价、变现和分配。基金财产清算小组可以依法进行必要的民事活动。</w:t>
      </w:r>
    </w:p>
    <w:p w14:paraId="47DE57D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5、基金财产清算程序：</w:t>
      </w:r>
    </w:p>
    <w:p w14:paraId="37DC8B4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（1）基金财产清算小组成立后，由基金财产清算小组统一接管基金；</w:t>
      </w:r>
    </w:p>
    <w:p w14:paraId="22D8EBA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（2）对基金财产和债权债务进行清理和确认；</w:t>
      </w:r>
    </w:p>
    <w:p w14:paraId="76D547F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（3）对基金财产进行估值和变现；</w:t>
      </w:r>
    </w:p>
    <w:p w14:paraId="6F37014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（4）制作清算报告；</w:t>
      </w:r>
    </w:p>
    <w:p w14:paraId="2C3921A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（5）聘请会计师事务所对清算报告进行外部审计，聘请律师事务所对清算报告出具法律意见书；</w:t>
      </w:r>
    </w:p>
    <w:p w14:paraId="26CD500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（6）将清算报告报中国证监会备案并公告；</w:t>
      </w:r>
    </w:p>
    <w:p w14:paraId="2D82D04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（7）对基金剩余财产进行分配。</w:t>
      </w:r>
    </w:p>
    <w:p w14:paraId="0E7D7AE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6、基金财产清算的期限为6个月，</w:t>
      </w:r>
      <w:r>
        <w:rPr>
          <w:rFonts w:ascii="宋体" w:hAnsi="宋体" w:cs="Arial"/>
          <w:sz w:val="24"/>
        </w:rPr>
        <w:t>但</w:t>
      </w:r>
      <w:r>
        <w:rPr>
          <w:rFonts w:ascii="宋体" w:hAnsi="宋体" w:cs="Arial"/>
          <w:bCs/>
          <w:sz w:val="24"/>
        </w:rPr>
        <w:t>因本基金所持证券</w:t>
      </w:r>
      <w:r>
        <w:rPr>
          <w:rFonts w:ascii="宋体" w:hAnsi="宋体" w:cs="Arial"/>
          <w:sz w:val="24"/>
        </w:rPr>
        <w:t>的流动性</w:t>
      </w:r>
      <w:r>
        <w:rPr>
          <w:rFonts w:ascii="宋体" w:hAnsi="宋体" w:cs="Arial"/>
          <w:bCs/>
          <w:sz w:val="24"/>
        </w:rPr>
        <w:t>受到限制</w:t>
      </w:r>
      <w:r>
        <w:rPr>
          <w:rFonts w:ascii="宋体" w:hAnsi="宋体" w:cs="Arial"/>
          <w:sz w:val="24"/>
        </w:rPr>
        <w:t>而不能及时变现等客观因素的</w:t>
      </w:r>
      <w:r>
        <w:rPr>
          <w:rFonts w:ascii="宋体" w:hAnsi="宋体" w:cs="Arial"/>
          <w:bCs/>
          <w:sz w:val="24"/>
        </w:rPr>
        <w:t>，清算期限相应</w:t>
      </w:r>
      <w:r>
        <w:rPr>
          <w:rFonts w:ascii="宋体" w:hAnsi="宋体" w:cs="Arial"/>
          <w:sz w:val="24"/>
        </w:rPr>
        <w:t>顺延</w:t>
      </w:r>
      <w:r>
        <w:rPr>
          <w:rFonts w:ascii="宋体" w:hAnsi="宋体" w:cs="Arial"/>
          <w:bCs/>
          <w:sz w:val="24"/>
        </w:rPr>
        <w:t>。</w:t>
      </w:r>
    </w:p>
    <w:p w14:paraId="7EDFD4F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四、清算费用</w:t>
      </w:r>
    </w:p>
    <w:p w14:paraId="6BF9EFA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清算费用是指基金财产清算小组在进行基金清算过程中发生的所有合理费用，清算费用由基金财产清算小组优先从基金剩余财产中支付。</w:t>
      </w:r>
    </w:p>
    <w:p w14:paraId="6E6BD77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五、基金财产清算剩余资产的分配</w:t>
      </w:r>
    </w:p>
    <w:p w14:paraId="3A3615E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依据基金财产清算的分配方案，将基金财产清算后的全部剩余资产扣除基金财产清算费用、交纳所欠税款并清偿基金债务后，按基金份额持有人持有的基金份额比例进行分配。</w:t>
      </w:r>
    </w:p>
    <w:p w14:paraId="47F2E36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六、基金财产清算的公告</w:t>
      </w:r>
    </w:p>
    <w:p w14:paraId="4C0AF83A" w14:textId="25AB977D" w:rsidR="00C52815" w:rsidRDefault="005C44F4">
      <w:pPr>
        <w:spacing w:line="360" w:lineRule="auto"/>
        <w:ind w:firstLineChars="200" w:firstLine="480"/>
        <w:rPr>
          <w:rFonts w:ascii="宋体" w:hAnsi="宋体" w:cs="Arial"/>
          <w:bCs/>
          <w:sz w:val="24"/>
        </w:rPr>
      </w:pPr>
      <w:r>
        <w:rPr>
          <w:rFonts w:ascii="宋体" w:hAnsi="宋体" w:cs="Arial"/>
          <w:bCs/>
          <w:sz w:val="24"/>
        </w:rPr>
        <w:t>清算过程中的有关重大事项须及时公告；基金财产清算报告</w:t>
      </w:r>
      <w:proofErr w:type="gramStart"/>
      <w:r>
        <w:rPr>
          <w:rFonts w:ascii="宋体" w:hAnsi="宋体" w:cs="Arial"/>
          <w:bCs/>
          <w:sz w:val="24"/>
        </w:rPr>
        <w:t>经符合</w:t>
      </w:r>
      <w:proofErr w:type="gramEnd"/>
      <w:r>
        <w:rPr>
          <w:rFonts w:ascii="宋体" w:hAnsi="宋体" w:cs="Arial"/>
          <w:bCs/>
          <w:sz w:val="24"/>
        </w:rPr>
        <w:t>《中华人民共和国证券法》规定的会计师事务所审计并由律师事务所出具法律意见书后报中国证监会备案并公告。基金财产清算公告于基金财产清算报告报中国证监会备案后</w:t>
      </w:r>
      <w:r w:rsidR="009D1010">
        <w:rPr>
          <w:rFonts w:ascii="宋体" w:hAnsi="宋体" w:cs="Arial" w:hint="eastAsia"/>
          <w:bCs/>
          <w:sz w:val="24"/>
        </w:rPr>
        <w:t>5个工作日内</w:t>
      </w:r>
      <w:r>
        <w:rPr>
          <w:rFonts w:ascii="宋体" w:hAnsi="宋体" w:cs="Arial"/>
          <w:bCs/>
          <w:sz w:val="24"/>
        </w:rPr>
        <w:t>由基金财产清算小组进行公告。</w:t>
      </w:r>
    </w:p>
    <w:p w14:paraId="5BE1B50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七、基金财产清算账册及文件的保存</w:t>
      </w:r>
    </w:p>
    <w:p w14:paraId="7CEB3704" w14:textId="68B31DA6" w:rsidR="00C52815" w:rsidRDefault="005C44F4">
      <w:pPr>
        <w:spacing w:line="360" w:lineRule="auto"/>
        <w:ind w:firstLineChars="200" w:firstLine="480"/>
        <w:rPr>
          <w:rFonts w:ascii="宋体" w:hAnsi="宋体" w:cs="Arial"/>
          <w:bCs/>
          <w:sz w:val="24"/>
        </w:rPr>
      </w:pPr>
      <w:r>
        <w:rPr>
          <w:rFonts w:ascii="宋体" w:hAnsi="宋体" w:cs="Arial"/>
          <w:bCs/>
          <w:sz w:val="24"/>
        </w:rPr>
        <w:t>基金财产清算账册及有关文件由基金托管人保存，</w:t>
      </w:r>
      <w:r>
        <w:rPr>
          <w:rFonts w:ascii="宋体" w:hAnsi="宋体" w:cs="Arial"/>
          <w:color w:val="000000"/>
          <w:sz w:val="24"/>
        </w:rPr>
        <w:t>保存期限</w:t>
      </w:r>
      <w:r w:rsidR="00ED307C" w:rsidRPr="00ED307C">
        <w:rPr>
          <w:rFonts w:ascii="宋体" w:hAnsi="宋体" w:cs="Arial" w:hint="eastAsia"/>
          <w:color w:val="000000"/>
          <w:sz w:val="24"/>
        </w:rPr>
        <w:t>按照法律法规的规定执行</w:t>
      </w:r>
      <w:r>
        <w:rPr>
          <w:rFonts w:ascii="宋体" w:hAnsi="宋体" w:cs="Arial"/>
          <w:bCs/>
          <w:sz w:val="24"/>
        </w:rPr>
        <w:t>。</w:t>
      </w:r>
    </w:p>
    <w:p w14:paraId="66AA945B" w14:textId="77777777" w:rsidR="00C52815" w:rsidRDefault="005C44F4">
      <w:pPr>
        <w:pStyle w:val="1"/>
        <w:spacing w:before="0" w:after="0"/>
        <w:jc w:val="center"/>
        <w:rPr>
          <w:rFonts w:hAnsi="宋体" w:cs="Arial"/>
          <w:color w:val="auto"/>
          <w:sz w:val="30"/>
        </w:rPr>
      </w:pPr>
      <w:bookmarkStart w:id="483" w:name="_Toc123051466"/>
      <w:bookmarkStart w:id="484" w:name="_Toc123112248"/>
      <w:bookmarkStart w:id="485" w:name="_Toc98560365"/>
      <w:bookmarkStart w:id="486" w:name="_Toc79392641"/>
      <w:bookmarkStart w:id="487" w:name="_Toc48649720"/>
      <w:bookmarkStart w:id="488" w:name="_Toc123102467"/>
      <w:r>
        <w:rPr>
          <w:rFonts w:hAnsi="宋体" w:cs="Arial"/>
          <w:b w:val="0"/>
          <w:bCs/>
          <w:color w:val="auto"/>
        </w:rPr>
        <w:br w:type="page"/>
      </w:r>
      <w:bookmarkStart w:id="489" w:name="_Toc27058"/>
      <w:bookmarkStart w:id="490" w:name="_Toc32378"/>
      <w:bookmarkStart w:id="491" w:name="_Toc9708"/>
      <w:bookmarkStart w:id="492" w:name="_Toc8710"/>
      <w:bookmarkStart w:id="493" w:name="_Toc7367"/>
      <w:bookmarkStart w:id="494" w:name="_Toc12191"/>
      <w:bookmarkStart w:id="495" w:name="_Toc21240"/>
      <w:bookmarkStart w:id="496" w:name="_Toc139991750"/>
      <w:bookmarkStart w:id="497" w:name="_Toc30645"/>
      <w:bookmarkStart w:id="498" w:name="_Toc13398"/>
      <w:bookmarkStart w:id="499" w:name="_Toc23166"/>
      <w:bookmarkStart w:id="500" w:name="_Toc23022"/>
      <w:bookmarkStart w:id="501" w:name="_Toc28549"/>
      <w:bookmarkStart w:id="502" w:name="_Toc16684"/>
      <w:bookmarkStart w:id="503" w:name="_Toc114406687"/>
      <w:bookmarkStart w:id="504" w:name="_Toc141703901"/>
      <w:bookmarkStart w:id="505" w:name="_Toc22920"/>
      <w:r>
        <w:rPr>
          <w:rFonts w:hAnsi="宋体" w:cs="Arial"/>
          <w:color w:val="auto"/>
          <w:sz w:val="30"/>
        </w:rPr>
        <w:lastRenderedPageBreak/>
        <w:t>第二十一部分  违约责任</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59C48516" w14:textId="1D9C02F4" w:rsidR="00C52815" w:rsidRDefault="00015E50">
      <w:pPr>
        <w:spacing w:line="360" w:lineRule="auto"/>
        <w:ind w:firstLineChars="200" w:firstLine="480"/>
        <w:rPr>
          <w:rFonts w:ascii="宋体" w:hAnsi="宋体" w:cs="Arial"/>
          <w:bCs/>
          <w:sz w:val="24"/>
        </w:rPr>
      </w:pPr>
      <w:r>
        <w:rPr>
          <w:rFonts w:ascii="宋体" w:hAnsi="宋体" w:cs="Arial" w:hint="eastAsia"/>
          <w:bCs/>
          <w:sz w:val="24"/>
        </w:rPr>
        <w:t>一</w:t>
      </w:r>
      <w:r w:rsidR="005C44F4">
        <w:rPr>
          <w:rFonts w:ascii="宋体" w:hAnsi="宋体" w:cs="Arial"/>
          <w:bCs/>
          <w:sz w:val="24"/>
        </w:rPr>
        <w:t>、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本基金合同所述对任何损失的赔偿，仅限于对直接损失的赔偿。但是如发生下列情况之一的，相应的当事人应当免责：</w:t>
      </w:r>
    </w:p>
    <w:p w14:paraId="63328BF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1、不可抗力；</w:t>
      </w:r>
    </w:p>
    <w:p w14:paraId="25303695" w14:textId="069DC106" w:rsidR="00C52815" w:rsidRDefault="005C44F4">
      <w:pPr>
        <w:spacing w:line="360" w:lineRule="auto"/>
        <w:ind w:firstLineChars="200" w:firstLine="480"/>
        <w:rPr>
          <w:rFonts w:ascii="宋体" w:hAnsi="宋体" w:cs="Arial"/>
          <w:bCs/>
          <w:sz w:val="24"/>
        </w:rPr>
      </w:pPr>
      <w:r>
        <w:rPr>
          <w:rFonts w:ascii="宋体" w:hAnsi="宋体" w:cs="Arial"/>
          <w:bCs/>
          <w:sz w:val="24"/>
        </w:rPr>
        <w:t>2、</w:t>
      </w:r>
      <w:r>
        <w:rPr>
          <w:rFonts w:ascii="宋体" w:hAnsi="宋体" w:cs="Arial" w:hint="eastAsia"/>
          <w:bCs/>
          <w:sz w:val="24"/>
        </w:rPr>
        <w:t>基金管理人和/或基金托管人按照当时有效的法律法规或</w:t>
      </w:r>
      <w:r w:rsidR="00757E62">
        <w:rPr>
          <w:rFonts w:ascii="宋体" w:hAnsi="宋体" w:cs="Arial" w:hint="eastAsia"/>
          <w:bCs/>
          <w:sz w:val="24"/>
        </w:rPr>
        <w:t>中国证监会等</w:t>
      </w:r>
      <w:r w:rsidR="008332F3">
        <w:rPr>
          <w:rFonts w:ascii="宋体" w:hAnsi="宋体" w:cs="Arial" w:hint="eastAsia"/>
          <w:bCs/>
          <w:sz w:val="24"/>
        </w:rPr>
        <w:t>监管机构</w:t>
      </w:r>
      <w:r>
        <w:rPr>
          <w:rFonts w:ascii="宋体" w:hAnsi="宋体" w:cs="Arial" w:hint="eastAsia"/>
          <w:bCs/>
          <w:sz w:val="24"/>
        </w:rPr>
        <w:t>的规定或交易所规则作为或不作为而造成的损失等</w:t>
      </w:r>
      <w:r>
        <w:rPr>
          <w:rFonts w:ascii="宋体" w:hAnsi="宋体" w:cs="Arial"/>
          <w:bCs/>
          <w:sz w:val="24"/>
        </w:rPr>
        <w:t>；</w:t>
      </w:r>
    </w:p>
    <w:p w14:paraId="45AAC047" w14:textId="4C67962B" w:rsidR="00C52815" w:rsidRDefault="005C44F4">
      <w:pPr>
        <w:spacing w:line="360" w:lineRule="auto"/>
        <w:ind w:firstLineChars="200" w:firstLine="480"/>
        <w:rPr>
          <w:rFonts w:ascii="宋体" w:hAnsi="宋体" w:cs="Arial"/>
          <w:bCs/>
          <w:sz w:val="24"/>
        </w:rPr>
      </w:pPr>
      <w:r>
        <w:rPr>
          <w:rFonts w:ascii="宋体" w:hAnsi="宋体" w:cs="Arial"/>
          <w:bCs/>
          <w:sz w:val="24"/>
        </w:rPr>
        <w:t>3、</w:t>
      </w:r>
      <w:r w:rsidR="00EB1AEB">
        <w:rPr>
          <w:rFonts w:ascii="宋体" w:hAnsi="宋体" w:cs="Arial"/>
          <w:bCs/>
          <w:sz w:val="24"/>
        </w:rPr>
        <w:t>在没有过错的情况下，</w:t>
      </w:r>
      <w:r>
        <w:rPr>
          <w:rFonts w:ascii="宋体" w:hAnsi="宋体" w:cs="Arial" w:hint="eastAsia"/>
          <w:bCs/>
          <w:sz w:val="24"/>
        </w:rPr>
        <w:t>基金管理人按照基金合同约定的投资原则投资或不投资造成的损失等</w:t>
      </w:r>
      <w:r>
        <w:rPr>
          <w:rFonts w:ascii="宋体" w:hAnsi="宋体" w:cs="Arial"/>
          <w:bCs/>
          <w:sz w:val="24"/>
        </w:rPr>
        <w:t>。</w:t>
      </w:r>
    </w:p>
    <w:p w14:paraId="429F4EF1" w14:textId="3A97DE7B" w:rsidR="00C52815" w:rsidRDefault="00015E50">
      <w:pPr>
        <w:spacing w:line="360" w:lineRule="auto"/>
        <w:ind w:firstLineChars="200" w:firstLine="480"/>
        <w:rPr>
          <w:rFonts w:ascii="宋体" w:hAnsi="宋体" w:cs="Arial"/>
          <w:bCs/>
          <w:sz w:val="24"/>
        </w:rPr>
      </w:pPr>
      <w:r>
        <w:rPr>
          <w:rFonts w:ascii="宋体" w:hAnsi="宋体" w:cs="Arial" w:hint="eastAsia"/>
          <w:bCs/>
          <w:sz w:val="24"/>
        </w:rPr>
        <w:t>二</w:t>
      </w:r>
      <w:r w:rsidR="005C44F4">
        <w:rPr>
          <w:rFonts w:ascii="宋体" w:hAnsi="宋体" w:cs="Arial"/>
          <w:bCs/>
          <w:sz w:val="24"/>
        </w:rPr>
        <w:t>、在发生一方或多方违约的情况下，在最大限度地保护基金份额持有人利益的前提下，《基金合同》能够继续履行的应当继续履行。非违约方当事人在职责范围内有义务及时采取必要的措施，</w:t>
      </w:r>
      <w:r w:rsidR="003E4AC1">
        <w:rPr>
          <w:rFonts w:ascii="宋体" w:hAnsi="宋体" w:cs="Arial"/>
          <w:bCs/>
          <w:sz w:val="24"/>
        </w:rPr>
        <w:t>尽力</w:t>
      </w:r>
      <w:r w:rsidR="005C44F4">
        <w:rPr>
          <w:rFonts w:ascii="宋体" w:hAnsi="宋体" w:cs="Arial"/>
          <w:bCs/>
          <w:sz w:val="24"/>
        </w:rPr>
        <w:t>防止损失的扩大。没有采取适当措施致使损失进一步扩大的，不得就扩大的损失要求赔偿。非违约方因防止损失扩大而支出的合理费用由违约方承担。</w:t>
      </w:r>
    </w:p>
    <w:p w14:paraId="74A443A5" w14:textId="6F05DBE8" w:rsidR="00C52815" w:rsidRDefault="00015E50">
      <w:pPr>
        <w:spacing w:line="360" w:lineRule="auto"/>
        <w:ind w:firstLineChars="200" w:firstLine="480"/>
        <w:rPr>
          <w:rFonts w:ascii="宋体" w:hAnsi="宋体" w:cs="Arial"/>
          <w:bCs/>
          <w:sz w:val="24"/>
        </w:rPr>
      </w:pPr>
      <w:r>
        <w:rPr>
          <w:rFonts w:ascii="宋体" w:hAnsi="宋体" w:cs="Arial" w:hint="eastAsia"/>
          <w:bCs/>
          <w:sz w:val="24"/>
        </w:rPr>
        <w:t>三</w:t>
      </w:r>
      <w:r w:rsidR="005C44F4">
        <w:rPr>
          <w:rFonts w:ascii="宋体" w:hAnsi="宋体" w:cs="Arial"/>
          <w:bCs/>
          <w:sz w:val="24"/>
        </w:rPr>
        <w:t>、由于</w:t>
      </w:r>
      <w:r w:rsidR="00F07128" w:rsidRPr="004F4410">
        <w:rPr>
          <w:rFonts w:ascii="宋体" w:hAnsi="宋体" w:cs="Arial" w:hint="eastAsia"/>
          <w:bCs/>
          <w:sz w:val="24"/>
        </w:rPr>
        <w:t>包括但不限于指数编制公司发送的数据不充分、不准确、不及时、不完整等</w:t>
      </w:r>
      <w:r w:rsidR="005C44F4">
        <w:rPr>
          <w:rFonts w:ascii="宋体" w:hAnsi="宋体" w:cs="Arial"/>
          <w:bCs/>
          <w:sz w:val="24"/>
        </w:rPr>
        <w:t>基金管理人、基金托管人不可控制的因素导致业务出现差错，基金管理人和基金托管人虽然已经采取必要、适当、合理的措施进行检查，仍未能发现错误</w:t>
      </w:r>
      <w:r w:rsidR="00F07128" w:rsidRPr="004346BD">
        <w:rPr>
          <w:rFonts w:ascii="宋体" w:hAnsi="宋体" w:cs="Arial" w:hint="eastAsia"/>
          <w:bCs/>
          <w:sz w:val="24"/>
        </w:rPr>
        <w:t>或因前述原因未能避免或更正</w:t>
      </w:r>
      <w:r w:rsidR="00F07128" w:rsidRPr="004346BD">
        <w:rPr>
          <w:rFonts w:ascii="宋体" w:hAnsi="宋体" w:cs="Arial"/>
          <w:bCs/>
          <w:sz w:val="24"/>
        </w:rPr>
        <w:t>错误</w:t>
      </w:r>
      <w:r w:rsidR="005C44F4">
        <w:rPr>
          <w:rFonts w:ascii="宋体" w:hAnsi="宋体" w:cs="Arial"/>
          <w:bCs/>
          <w:sz w:val="24"/>
        </w:rPr>
        <w:t>的，由此造成基金财产或投资人损失，基金管理人和基金托管人免除赔偿责任，但是基金管理人和基金托管人应积极采取必要的措施消除或减轻由此造成的影响。</w:t>
      </w:r>
    </w:p>
    <w:p w14:paraId="5CC417D0" w14:textId="77777777" w:rsidR="00C52815" w:rsidRDefault="00C52815">
      <w:pPr>
        <w:spacing w:line="360" w:lineRule="auto"/>
        <w:ind w:firstLineChars="200" w:firstLine="480"/>
        <w:rPr>
          <w:rFonts w:ascii="宋体" w:hAnsi="宋体" w:cs="Arial"/>
          <w:bCs/>
          <w:sz w:val="24"/>
        </w:rPr>
      </w:pPr>
    </w:p>
    <w:p w14:paraId="69D25E9A" w14:textId="77777777" w:rsidR="00C52815" w:rsidRDefault="005C44F4">
      <w:pPr>
        <w:pStyle w:val="1"/>
        <w:spacing w:before="0" w:after="0"/>
        <w:jc w:val="center"/>
        <w:rPr>
          <w:rFonts w:hAnsi="宋体" w:cs="Arial"/>
          <w:color w:val="auto"/>
          <w:sz w:val="30"/>
        </w:rPr>
      </w:pPr>
      <w:r>
        <w:rPr>
          <w:rFonts w:hAnsi="宋体" w:cs="Arial"/>
          <w:b w:val="0"/>
          <w:bCs/>
          <w:color w:val="auto"/>
        </w:rPr>
        <w:br w:type="page"/>
      </w:r>
      <w:bookmarkStart w:id="506" w:name="_Toc30350"/>
      <w:bookmarkStart w:id="507" w:name="_Toc23999"/>
      <w:bookmarkStart w:id="508" w:name="_Toc7288"/>
      <w:bookmarkStart w:id="509" w:name="_Toc9087"/>
      <w:bookmarkStart w:id="510" w:name="_Toc98560366"/>
      <w:bookmarkStart w:id="511" w:name="_Toc21983"/>
      <w:bookmarkStart w:id="512" w:name="_Toc6110"/>
      <w:bookmarkStart w:id="513" w:name="_Toc139991751"/>
      <w:bookmarkStart w:id="514" w:name="_Toc114406688"/>
      <w:bookmarkStart w:id="515" w:name="_Toc123102468"/>
      <w:bookmarkStart w:id="516" w:name="_Toc3319"/>
      <w:bookmarkStart w:id="517" w:name="_Toc25365"/>
      <w:bookmarkStart w:id="518" w:name="_Toc8636"/>
      <w:bookmarkStart w:id="519" w:name="_Toc6202"/>
      <w:bookmarkStart w:id="520" w:name="_Toc1790"/>
      <w:bookmarkStart w:id="521" w:name="_Toc123051467"/>
      <w:bookmarkStart w:id="522" w:name="_Toc123112249"/>
      <w:bookmarkStart w:id="523" w:name="_Toc141703902"/>
      <w:bookmarkStart w:id="524" w:name="_Toc25651"/>
      <w:bookmarkStart w:id="525" w:name="_Toc9913"/>
      <w:bookmarkStart w:id="526" w:name="_Toc24923"/>
      <w:r>
        <w:rPr>
          <w:rFonts w:hAnsi="宋体" w:cs="Arial"/>
          <w:color w:val="auto"/>
          <w:sz w:val="30"/>
        </w:rPr>
        <w:lastRenderedPageBreak/>
        <w:t>第二十二部分  争议的处理和适用的法律</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6842432" w14:textId="77777777" w:rsidR="00C52815" w:rsidRDefault="00C52815">
      <w:pPr>
        <w:spacing w:line="360" w:lineRule="auto"/>
        <w:ind w:firstLineChars="200" w:firstLine="480"/>
        <w:rPr>
          <w:rFonts w:ascii="宋体" w:hAnsi="宋体" w:cs="Arial"/>
          <w:bCs/>
          <w:sz w:val="24"/>
        </w:rPr>
      </w:pPr>
    </w:p>
    <w:p w14:paraId="566D5B5E" w14:textId="121DE4BB" w:rsidR="00C52815" w:rsidRDefault="005C44F4">
      <w:pPr>
        <w:spacing w:line="360" w:lineRule="auto"/>
        <w:ind w:firstLineChars="200" w:firstLine="480"/>
        <w:rPr>
          <w:rFonts w:ascii="宋体" w:hAnsi="宋体" w:cs="Arial"/>
          <w:bCs/>
          <w:sz w:val="24"/>
        </w:rPr>
      </w:pPr>
      <w:r>
        <w:rPr>
          <w:rFonts w:ascii="宋体" w:hAnsi="宋体" w:cs="Arial"/>
          <w:bCs/>
          <w:sz w:val="24"/>
        </w:rPr>
        <w:t>各方当事人同意，因《基金合同》而产生的或与《基金合同》有关的一切争议，各方当事人应尽量通过协商、调解解决。协商、调解不能解决的</w:t>
      </w:r>
      <w:r w:rsidR="00AD52E8">
        <w:rPr>
          <w:rFonts w:ascii="宋体" w:hAnsi="宋体" w:cs="Arial"/>
          <w:bCs/>
          <w:sz w:val="24"/>
        </w:rPr>
        <w:t>，</w:t>
      </w:r>
      <w:r w:rsidR="008E4A1B">
        <w:rPr>
          <w:rFonts w:ascii="宋体" w:hAnsi="宋体" w:cs="Arial" w:hint="eastAsia"/>
          <w:bCs/>
          <w:sz w:val="24"/>
        </w:rPr>
        <w:t>应当</w:t>
      </w:r>
      <w:r>
        <w:rPr>
          <w:rFonts w:ascii="宋体" w:hAnsi="宋体" w:cs="Arial"/>
          <w:bCs/>
          <w:sz w:val="24"/>
        </w:rPr>
        <w:t>将争议提交</w:t>
      </w:r>
      <w:bookmarkStart w:id="527" w:name="_Hlk129000453"/>
      <w:r>
        <w:rPr>
          <w:rFonts w:ascii="宋体" w:hAnsi="宋体" w:cs="Arial"/>
          <w:bCs/>
          <w:sz w:val="24"/>
        </w:rPr>
        <w:t>中国国际经济贸易仲裁委员会</w:t>
      </w:r>
      <w:bookmarkEnd w:id="527"/>
      <w:r>
        <w:rPr>
          <w:rFonts w:ascii="宋体" w:hAnsi="宋体" w:cs="Arial"/>
          <w:bCs/>
          <w:sz w:val="24"/>
        </w:rPr>
        <w:t>，按照中国国际经济贸易仲裁委员会届时有效的仲裁规则进行仲裁。仲裁地点为北京市。仲裁裁决是终局的，对仲裁各方当事人均具有约束力。</w:t>
      </w:r>
      <w:r>
        <w:rPr>
          <w:rFonts w:ascii="宋体" w:hAnsi="宋体" w:cs="Arial" w:hint="eastAsia"/>
          <w:bCs/>
          <w:sz w:val="24"/>
        </w:rPr>
        <w:t>仲裁费用</w:t>
      </w:r>
      <w:r>
        <w:rPr>
          <w:rFonts w:ascii="宋体" w:hAnsi="宋体" w:cs="Arial"/>
          <w:bCs/>
          <w:sz w:val="24"/>
        </w:rPr>
        <w:t>由败诉方承担，除非仲裁裁决另有决定。</w:t>
      </w:r>
    </w:p>
    <w:p w14:paraId="3C5710B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争议处理期间，各方当事人应恪守各自的职责，继续忠实、勤勉、尽责地履行基金合同规定的义务，维护基金份额持有人的合法权益。</w:t>
      </w:r>
    </w:p>
    <w:p w14:paraId="732A42E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《基金合同》受中国法律（为本合同之目的，不包括香港特别行政区、澳门特别行政区和台湾地区法律）管辖。</w:t>
      </w:r>
      <w:bookmarkStart w:id="528" w:name="_Toc29505"/>
      <w:bookmarkStart w:id="529" w:name="_Toc20350"/>
      <w:bookmarkStart w:id="530" w:name="_Toc141703903"/>
      <w:bookmarkStart w:id="531" w:name="_Toc11618"/>
      <w:bookmarkStart w:id="532" w:name="_Toc28690"/>
      <w:bookmarkStart w:id="533" w:name="_Toc8454"/>
      <w:bookmarkStart w:id="534" w:name="_Toc31966"/>
      <w:bookmarkStart w:id="535" w:name="_Toc8703"/>
      <w:bookmarkStart w:id="536" w:name="_Toc123112250"/>
      <w:bookmarkStart w:id="537" w:name="_Toc484"/>
      <w:bookmarkStart w:id="538" w:name="_Toc2532"/>
      <w:bookmarkStart w:id="539" w:name="_Toc123102469"/>
      <w:bookmarkStart w:id="540" w:name="_Toc26461"/>
      <w:bookmarkStart w:id="541" w:name="_Toc139991752"/>
      <w:bookmarkStart w:id="542" w:name="_Toc23991"/>
      <w:bookmarkStart w:id="543" w:name="_Toc123051468"/>
    </w:p>
    <w:p w14:paraId="3756929B" w14:textId="77777777" w:rsidR="00C52815" w:rsidRDefault="005C44F4">
      <w:pPr>
        <w:pStyle w:val="1"/>
        <w:spacing w:before="0" w:after="0"/>
        <w:jc w:val="center"/>
        <w:rPr>
          <w:rFonts w:hAnsi="宋体" w:cs="Arial"/>
          <w:color w:val="auto"/>
          <w:sz w:val="30"/>
        </w:rPr>
      </w:pPr>
      <w:r>
        <w:rPr>
          <w:rFonts w:hAnsi="宋体" w:cs="Arial"/>
        </w:rPr>
        <w:br w:type="page"/>
      </w:r>
      <w:bookmarkStart w:id="544" w:name="_Toc24221"/>
      <w:bookmarkStart w:id="545" w:name="_Toc27950"/>
      <w:bookmarkStart w:id="546" w:name="_Toc26804"/>
      <w:bookmarkStart w:id="547" w:name="_Toc114406689"/>
      <w:r>
        <w:rPr>
          <w:rFonts w:hAnsi="宋体" w:cs="Arial"/>
          <w:color w:val="auto"/>
          <w:sz w:val="30"/>
        </w:rPr>
        <w:lastRenderedPageBreak/>
        <w:t>第二十三部分  基金合同的效力</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0F431EC0" w14:textId="77777777" w:rsidR="00C52815" w:rsidRDefault="00C52815">
      <w:pPr>
        <w:spacing w:line="360" w:lineRule="auto"/>
        <w:ind w:firstLineChars="200" w:firstLine="480"/>
        <w:rPr>
          <w:rFonts w:ascii="宋体" w:hAnsi="宋体" w:cs="Arial"/>
          <w:bCs/>
          <w:sz w:val="24"/>
        </w:rPr>
      </w:pPr>
    </w:p>
    <w:p w14:paraId="1CFF687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《基金合同》是约定基金合同当事人之间权利义务关系的法律文件。</w:t>
      </w:r>
    </w:p>
    <w:p w14:paraId="0D5695D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1、《基金合同》经基金管理人、基金托管人双方盖章以及双方法定代表人或授权代表签字/签章并在募集结束后经基金管理人向中国证监会办理基金备案手续，并经中国证监会书面确认后生效。</w:t>
      </w:r>
    </w:p>
    <w:p w14:paraId="4DBF03F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2、《基金合同》的有效期自其生效之日起至基金财产清算结果报中国证监会备案并公告之日止。</w:t>
      </w:r>
    </w:p>
    <w:p w14:paraId="3407F0A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3、《基金合同》自生效之日起对包括基金管理人、基金托管人和基金份额持有人在内的《基金合同》各方当事人具有同等的法律约束力。</w:t>
      </w:r>
    </w:p>
    <w:p w14:paraId="2FA8DD7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4、《基金合同》正本一式叁份，除上报有关监管机构一份外，基金管理人、基金托管人各持有一份，每份具有同等的法律效力。</w:t>
      </w:r>
    </w:p>
    <w:p w14:paraId="7C43DB3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5、《基金合同》可印制成册，供投资者在基金管理人、基金托管人、销售机构的办公场所和营业场所查阅。</w:t>
      </w:r>
    </w:p>
    <w:p w14:paraId="523CC7E8" w14:textId="77777777" w:rsidR="00C52815" w:rsidRDefault="005C44F4">
      <w:pPr>
        <w:pStyle w:val="1"/>
        <w:spacing w:before="0" w:after="0"/>
        <w:jc w:val="center"/>
        <w:rPr>
          <w:rFonts w:hAnsi="宋体" w:cs="Arial"/>
          <w:color w:val="auto"/>
          <w:sz w:val="30"/>
        </w:rPr>
      </w:pPr>
      <w:r>
        <w:rPr>
          <w:rFonts w:hAnsi="宋体" w:cs="Arial"/>
          <w:b w:val="0"/>
          <w:bCs/>
          <w:color w:val="auto"/>
        </w:rPr>
        <w:br w:type="page"/>
      </w:r>
      <w:bookmarkStart w:id="548" w:name="_Toc4980"/>
      <w:bookmarkStart w:id="549" w:name="_Toc26235"/>
      <w:bookmarkStart w:id="550" w:name="_Toc114406690"/>
      <w:bookmarkStart w:id="551" w:name="_Toc21726"/>
      <w:bookmarkStart w:id="552" w:name="_Toc9704"/>
      <w:bookmarkStart w:id="553" w:name="_Toc12702"/>
      <w:r>
        <w:rPr>
          <w:rFonts w:hAnsi="宋体" w:cs="Arial"/>
          <w:color w:val="auto"/>
          <w:sz w:val="30"/>
        </w:rPr>
        <w:lastRenderedPageBreak/>
        <w:t>第二十四部分  其他事项</w:t>
      </w:r>
      <w:bookmarkEnd w:id="548"/>
      <w:bookmarkEnd w:id="549"/>
      <w:bookmarkEnd w:id="550"/>
      <w:bookmarkEnd w:id="551"/>
      <w:bookmarkEnd w:id="552"/>
      <w:bookmarkEnd w:id="553"/>
    </w:p>
    <w:p w14:paraId="00CDF8B6" w14:textId="77777777" w:rsidR="00C52815" w:rsidRDefault="00C52815">
      <w:pPr>
        <w:spacing w:line="360" w:lineRule="auto"/>
        <w:ind w:firstLineChars="200" w:firstLine="480"/>
        <w:rPr>
          <w:rFonts w:ascii="宋体" w:hAnsi="宋体" w:cs="Arial"/>
          <w:sz w:val="24"/>
        </w:rPr>
      </w:pPr>
    </w:p>
    <w:p w14:paraId="78CB0108" w14:textId="77777777" w:rsidR="00C52815" w:rsidRDefault="005C44F4">
      <w:pPr>
        <w:spacing w:line="360" w:lineRule="auto"/>
        <w:ind w:firstLineChars="200" w:firstLine="480"/>
        <w:rPr>
          <w:rFonts w:ascii="宋体" w:hAnsi="宋体" w:cs="Arial"/>
          <w:sz w:val="24"/>
        </w:rPr>
      </w:pPr>
      <w:r>
        <w:rPr>
          <w:rFonts w:ascii="宋体" w:hAnsi="宋体" w:cs="Arial"/>
          <w:sz w:val="24"/>
        </w:rPr>
        <w:t>《基金合同》如有未尽事宜，由《基金合同》当事人各方按有关法律法规协商解决。</w:t>
      </w:r>
    </w:p>
    <w:p w14:paraId="1EF3827A" w14:textId="77777777" w:rsidR="00C52815" w:rsidRDefault="00C52815">
      <w:pPr>
        <w:spacing w:line="360" w:lineRule="auto"/>
        <w:ind w:firstLineChars="200" w:firstLine="480"/>
        <w:rPr>
          <w:rFonts w:ascii="宋体" w:hAnsi="宋体" w:cs="Arial"/>
          <w:sz w:val="24"/>
        </w:rPr>
      </w:pPr>
    </w:p>
    <w:p w14:paraId="7EE136FE" w14:textId="77777777" w:rsidR="00C52815" w:rsidRDefault="00C52815">
      <w:pPr>
        <w:widowControl/>
        <w:jc w:val="left"/>
        <w:rPr>
          <w:rFonts w:ascii="宋体" w:hAnsi="宋体" w:cs="Arial"/>
          <w:b/>
          <w:kern w:val="0"/>
          <w:sz w:val="30"/>
        </w:rPr>
      </w:pPr>
      <w:bookmarkStart w:id="554" w:name="_Toc17263"/>
      <w:bookmarkStart w:id="555" w:name="_Toc21122"/>
      <w:bookmarkStart w:id="556" w:name="_Toc7437"/>
      <w:bookmarkStart w:id="557" w:name="_Toc15664"/>
      <w:bookmarkStart w:id="558" w:name="_Toc12499"/>
      <w:bookmarkStart w:id="559" w:name="_Toc1360"/>
      <w:bookmarkStart w:id="560" w:name="_Toc20098"/>
      <w:bookmarkStart w:id="561" w:name="_Toc32355"/>
      <w:bookmarkStart w:id="562" w:name="_Toc141703905"/>
      <w:bookmarkStart w:id="563" w:name="_Toc15045"/>
      <w:bookmarkStart w:id="564" w:name="_Toc9054"/>
      <w:bookmarkStart w:id="565" w:name="_Toc5108"/>
    </w:p>
    <w:p w14:paraId="2107A2B7" w14:textId="77777777" w:rsidR="00C52815" w:rsidRDefault="005C44F4">
      <w:pPr>
        <w:pStyle w:val="1"/>
        <w:spacing w:before="0" w:after="0"/>
        <w:jc w:val="center"/>
        <w:rPr>
          <w:rFonts w:hAnsi="宋体" w:cs="Arial"/>
          <w:color w:val="auto"/>
          <w:sz w:val="30"/>
        </w:rPr>
      </w:pPr>
      <w:r>
        <w:rPr>
          <w:rFonts w:hAnsi="宋体" w:cs="Arial"/>
          <w:color w:val="auto"/>
          <w:sz w:val="30"/>
        </w:rPr>
        <w:br w:type="page"/>
      </w:r>
      <w:bookmarkStart w:id="566" w:name="_Toc25988"/>
      <w:bookmarkStart w:id="567" w:name="_Toc15342"/>
      <w:bookmarkStart w:id="568" w:name="_Toc114406691"/>
      <w:bookmarkStart w:id="569" w:name="_Toc14602"/>
      <w:r>
        <w:rPr>
          <w:rFonts w:hAnsi="宋体" w:cs="Arial"/>
          <w:color w:val="auto"/>
          <w:sz w:val="30"/>
        </w:rPr>
        <w:lastRenderedPageBreak/>
        <w:t>第二十五部分  基金合同内容摘要</w:t>
      </w:r>
      <w:bookmarkEnd w:id="76"/>
      <w:bookmarkEnd w:id="77"/>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3CFA0472" w14:textId="77777777" w:rsidR="00C52815" w:rsidRDefault="00C52815">
      <w:pPr>
        <w:autoSpaceDE w:val="0"/>
        <w:autoSpaceDN w:val="0"/>
        <w:adjustRightInd w:val="0"/>
        <w:spacing w:line="360" w:lineRule="auto"/>
        <w:ind w:firstLine="482"/>
        <w:jc w:val="left"/>
        <w:rPr>
          <w:rFonts w:ascii="宋体" w:hAnsi="宋体" w:cs="Arial"/>
          <w:b/>
          <w:sz w:val="24"/>
          <w:szCs w:val="24"/>
        </w:rPr>
      </w:pPr>
    </w:p>
    <w:p w14:paraId="5E896B92" w14:textId="77777777" w:rsidR="00C52815" w:rsidRDefault="005C44F4">
      <w:pPr>
        <w:autoSpaceDE w:val="0"/>
        <w:autoSpaceDN w:val="0"/>
        <w:adjustRightInd w:val="0"/>
        <w:spacing w:line="360" w:lineRule="auto"/>
        <w:ind w:firstLine="482"/>
        <w:jc w:val="left"/>
        <w:rPr>
          <w:rFonts w:ascii="宋体" w:hAnsi="宋体" w:cs="Arial"/>
          <w:b/>
          <w:sz w:val="24"/>
          <w:szCs w:val="24"/>
        </w:rPr>
      </w:pPr>
      <w:bookmarkStart w:id="570" w:name="_Hlk36717172"/>
      <w:bookmarkStart w:id="571" w:name="_Hlk114260971"/>
      <w:r>
        <w:rPr>
          <w:rFonts w:ascii="宋体" w:hAnsi="宋体" w:cs="Arial"/>
          <w:b/>
          <w:sz w:val="24"/>
          <w:szCs w:val="24"/>
        </w:rPr>
        <w:t>一、基金份额持有人、基金管理人和基金托管人的权利、义务</w:t>
      </w:r>
    </w:p>
    <w:p w14:paraId="58F097E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（一）基金份额持有人的权利和义务</w:t>
      </w:r>
    </w:p>
    <w:p w14:paraId="210161C6"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基金投资者持有本</w:t>
      </w:r>
      <w:proofErr w:type="gramStart"/>
      <w:r>
        <w:rPr>
          <w:rFonts w:ascii="宋体" w:hAnsi="宋体" w:cs="Arial"/>
          <w:sz w:val="24"/>
        </w:rPr>
        <w:t>基金基金</w:t>
      </w:r>
      <w:proofErr w:type="gramEnd"/>
      <w:r>
        <w:rPr>
          <w:rFonts w:ascii="宋体" w:hAnsi="宋体" w:cs="Arial"/>
          <w:sz w:val="24"/>
        </w:rPr>
        <w:t>份额的行为即视为对《基金合同》的承认和接受，基金投资者</w:t>
      </w:r>
      <w:proofErr w:type="gramStart"/>
      <w:r>
        <w:rPr>
          <w:rFonts w:ascii="宋体" w:hAnsi="宋体" w:cs="Arial"/>
          <w:sz w:val="24"/>
        </w:rPr>
        <w:t>自依据</w:t>
      </w:r>
      <w:proofErr w:type="gramEnd"/>
      <w:r>
        <w:rPr>
          <w:rFonts w:ascii="宋体" w:hAnsi="宋体" w:cs="Arial"/>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4D10BA60"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每份基金份额具有同等的合法权益。</w:t>
      </w:r>
    </w:p>
    <w:p w14:paraId="15CADFBA"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1、根据《基金法》、《运作办法》及其他有关规定，基金份额持有人的权利包括但不限于：</w:t>
      </w:r>
    </w:p>
    <w:p w14:paraId="22F596CC"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（1）分享基金财产收益；</w:t>
      </w:r>
    </w:p>
    <w:p w14:paraId="42A6DABD"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（2）参与分配清算后的剩余基金财产；</w:t>
      </w:r>
    </w:p>
    <w:p w14:paraId="16225B35"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（3）依法转让或者申请赎回其持有的基金份额；</w:t>
      </w:r>
    </w:p>
    <w:p w14:paraId="3F11ABDD"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（4）按照规定要求召开基金份额持有人大会或者召集基金份额持有人大会；</w:t>
      </w:r>
    </w:p>
    <w:p w14:paraId="23FB0C30"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（5）出席或者委派代表出席基金份额持有人大会，对基金份额持有人大会审议事项行使表决权；</w:t>
      </w:r>
    </w:p>
    <w:p w14:paraId="710F4B2D"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（6）查阅或者复制公开披露的基金信息资料；</w:t>
      </w:r>
    </w:p>
    <w:p w14:paraId="72C3F0F6"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（7）监督基金管理人的投资运作；</w:t>
      </w:r>
    </w:p>
    <w:p w14:paraId="61FFF1B2"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（8）对基金管理人、基金托管人损害其合法权益的行为依法提起仲裁；</w:t>
      </w:r>
    </w:p>
    <w:p w14:paraId="32E81BE5"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（9）法律法规及中国证监会规定的和《基金合同》约定的其他权利。</w:t>
      </w:r>
    </w:p>
    <w:p w14:paraId="0D82FF0E"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2、根据《基金法》、《运作办法》及其他有关规定，基金份额持有人的义务包括但不限于：</w:t>
      </w:r>
    </w:p>
    <w:p w14:paraId="757F6DE9"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（1）认真阅读并遵守《基金合同》、招募说明书、基金产品资料概要、业务规则以及基金管理人按照规定就本基金发布的相关公告；</w:t>
      </w:r>
    </w:p>
    <w:p w14:paraId="34A87BD5"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（2）了解所投资基金产品，了解自身风险承受能力，自主判断基金的投资价值，自主做出投资决策，自行承担投资风险；</w:t>
      </w:r>
    </w:p>
    <w:p w14:paraId="3EA35B58"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lastRenderedPageBreak/>
        <w:t>（3）关注基金信息披露，及时行使权利和履行义务；</w:t>
      </w:r>
    </w:p>
    <w:p w14:paraId="1BF404F4" w14:textId="32BE1C46"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（4）</w:t>
      </w:r>
      <w:r w:rsidR="00041270" w:rsidRPr="00041270">
        <w:rPr>
          <w:rFonts w:ascii="宋体" w:hAnsi="宋体" w:cs="Arial" w:hint="eastAsia"/>
          <w:sz w:val="24"/>
        </w:rPr>
        <w:t>及时足额交纳基金认购款项和认购股票、应付申购对价及法律法规和《基金合同》所规定的费用</w:t>
      </w:r>
      <w:r>
        <w:rPr>
          <w:rFonts w:ascii="宋体" w:hAnsi="宋体" w:cs="Arial"/>
          <w:sz w:val="24"/>
        </w:rPr>
        <w:t>；</w:t>
      </w:r>
    </w:p>
    <w:p w14:paraId="7B6ED124"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（5）在其持有的基金份额范围内，承担基金亏损或者《基金合同》终止的有限责任；</w:t>
      </w:r>
    </w:p>
    <w:p w14:paraId="655A3D60"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（6）不从事任何有损基金及其他《基金合同》当事人合法权益的活动；</w:t>
      </w:r>
    </w:p>
    <w:p w14:paraId="51F169E9"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（7）执行生效的基金份额持有人大会的决议；</w:t>
      </w:r>
    </w:p>
    <w:p w14:paraId="3578E7E9"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（8）返还在基金交易过程中因任何原因获得的不当得利；</w:t>
      </w:r>
    </w:p>
    <w:p w14:paraId="7A65AE6E"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（9）遵守基金管理人、证券交易所、销售机构和登记结算机构的相关交易及业务规则；</w:t>
      </w:r>
    </w:p>
    <w:p w14:paraId="29E1BB88" w14:textId="0D4314A0" w:rsidR="00C52815" w:rsidRDefault="005C44F4">
      <w:pPr>
        <w:autoSpaceDE w:val="0"/>
        <w:autoSpaceDN w:val="0"/>
        <w:adjustRightInd w:val="0"/>
        <w:spacing w:line="360" w:lineRule="auto"/>
        <w:ind w:firstLine="480"/>
        <w:jc w:val="left"/>
        <w:rPr>
          <w:rFonts w:ascii="宋体" w:hAnsi="宋体" w:cs="Arial"/>
          <w:sz w:val="24"/>
        </w:rPr>
      </w:pPr>
      <w:r>
        <w:rPr>
          <w:rFonts w:ascii="宋体" w:hAnsi="宋体" w:cs="Arial"/>
          <w:sz w:val="24"/>
        </w:rPr>
        <w:t>（10）如实提供基金管理人或其销售机构依法要求提供的信息，并不时予以更新和补充；</w:t>
      </w:r>
    </w:p>
    <w:p w14:paraId="617B053B" w14:textId="780691C4" w:rsidR="002720C2" w:rsidRDefault="002720C2" w:rsidP="0093140B">
      <w:pPr>
        <w:spacing w:line="360" w:lineRule="auto"/>
        <w:ind w:firstLineChars="200" w:firstLine="480"/>
        <w:rPr>
          <w:rFonts w:ascii="宋体" w:hAnsi="宋体" w:cs="Arial"/>
          <w:sz w:val="24"/>
        </w:rPr>
      </w:pPr>
      <w:r w:rsidRPr="00D31A44">
        <w:rPr>
          <w:rFonts w:asciiTheme="majorEastAsia" w:eastAsiaTheme="majorEastAsia" w:hAnsiTheme="majorEastAsia" w:hint="eastAsia"/>
          <w:bCs/>
          <w:sz w:val="24"/>
        </w:rPr>
        <w:t>（</w:t>
      </w:r>
      <w:r w:rsidRPr="00D31A44">
        <w:rPr>
          <w:rFonts w:asciiTheme="majorEastAsia" w:eastAsiaTheme="majorEastAsia" w:hAnsiTheme="majorEastAsia"/>
          <w:bCs/>
          <w:sz w:val="24"/>
        </w:rPr>
        <w:t>11</w:t>
      </w:r>
      <w:r w:rsidRPr="00D31A44">
        <w:rPr>
          <w:rFonts w:asciiTheme="majorEastAsia" w:eastAsiaTheme="majorEastAsia" w:hAnsiTheme="majorEastAsia" w:hint="eastAsia"/>
          <w:bCs/>
          <w:sz w:val="24"/>
        </w:rPr>
        <w:t>）配合</w:t>
      </w:r>
      <w:r w:rsidRPr="002F6A53">
        <w:rPr>
          <w:rFonts w:hint="eastAsia"/>
          <w:bCs/>
          <w:sz w:val="24"/>
        </w:rPr>
        <w:t>基金管理人或销售机构开展反洗钱尽职调查，包括但不限于提供真实有效的身份证件或者其他身份证明文件，准确、完整填报身份信息，如实提供与交易和资金相关的资料等。不得从事洗钱活动或者为洗钱活动提供便利</w:t>
      </w:r>
      <w:r>
        <w:rPr>
          <w:rFonts w:hint="eastAsia"/>
          <w:bCs/>
          <w:sz w:val="24"/>
        </w:rPr>
        <w:t>；</w:t>
      </w:r>
    </w:p>
    <w:p w14:paraId="53E416C3" w14:textId="681CBB8D" w:rsidR="00C52815" w:rsidRDefault="005C44F4">
      <w:pPr>
        <w:autoSpaceDE w:val="0"/>
        <w:autoSpaceDN w:val="0"/>
        <w:adjustRightInd w:val="0"/>
        <w:spacing w:line="360" w:lineRule="auto"/>
        <w:ind w:firstLine="480"/>
        <w:jc w:val="left"/>
        <w:rPr>
          <w:rFonts w:ascii="宋体" w:hAnsi="宋体" w:cs="Arial"/>
          <w:sz w:val="24"/>
        </w:rPr>
      </w:pPr>
      <w:r>
        <w:rPr>
          <w:rFonts w:ascii="宋体" w:hAnsi="宋体" w:cs="Arial"/>
          <w:sz w:val="24"/>
        </w:rPr>
        <w:t>（1</w:t>
      </w:r>
      <w:r w:rsidR="002720C2">
        <w:rPr>
          <w:rFonts w:ascii="宋体" w:hAnsi="宋体" w:cs="Arial"/>
          <w:sz w:val="24"/>
        </w:rPr>
        <w:t>2</w:t>
      </w:r>
      <w:r>
        <w:rPr>
          <w:rFonts w:ascii="宋体" w:hAnsi="宋体" w:cs="Arial"/>
          <w:sz w:val="24"/>
        </w:rPr>
        <w:t>）法律法规及中国证监会规定的和《基金合同》约定的其他义务。</w:t>
      </w:r>
    </w:p>
    <w:p w14:paraId="704A262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w:t>
      </w:r>
      <w:r>
        <w:rPr>
          <w:rFonts w:ascii="宋体" w:hAnsi="宋体" w:cs="Arial"/>
          <w:bCs/>
          <w:sz w:val="24"/>
        </w:rPr>
        <w:tab/>
        <w:t>基金管理人的权利与义务</w:t>
      </w:r>
    </w:p>
    <w:p w14:paraId="67A7AFC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1、根据《基金法》、《运作办法》及其他有关规定，基金管理人的权利包括但不限于：</w:t>
      </w:r>
    </w:p>
    <w:p w14:paraId="270ED23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（1）依法募集资金；</w:t>
      </w:r>
    </w:p>
    <w:p w14:paraId="7EA2490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（2）自《基金合同》生效之日起，根据法律法规和《基金合同》独立运用并管理基金财产；</w:t>
      </w:r>
    </w:p>
    <w:p w14:paraId="32D9CB8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（3）依照《基金合同》收取基金管理费以及法律法规规定或中国证监会批准的其他费用；</w:t>
      </w:r>
    </w:p>
    <w:p w14:paraId="6862808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（4）销售基金份额；</w:t>
      </w:r>
    </w:p>
    <w:p w14:paraId="25E92CC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（5）按照规定召集基金份额持有人大会；</w:t>
      </w:r>
    </w:p>
    <w:p w14:paraId="7D68C76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（6）依据《基金合同》及有关法律规定监督基金托管人，如认为基金托管人违反了《基金合同》及国家有关法律规定，应呈报中国证监会和其他监管部</w:t>
      </w:r>
      <w:r>
        <w:rPr>
          <w:rFonts w:ascii="宋体" w:hAnsi="宋体" w:cs="Arial"/>
          <w:bCs/>
          <w:sz w:val="24"/>
        </w:rPr>
        <w:lastRenderedPageBreak/>
        <w:t>门，并采取必要措施保护基金投资者的利益；</w:t>
      </w:r>
    </w:p>
    <w:p w14:paraId="37B6C23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（7）在基金托管人更换时，提名新的基金托管人；</w:t>
      </w:r>
    </w:p>
    <w:p w14:paraId="79448A5E"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（8）依据《基金合同》及有关法律规定决定基金收益的分配方案；</w:t>
      </w:r>
    </w:p>
    <w:p w14:paraId="557D3DAB"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 xml:space="preserve">（9）在《基金合同》约定的范围内，拒绝或暂停受理申购与赎回申请； </w:t>
      </w:r>
    </w:p>
    <w:p w14:paraId="40B3BD56"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（10）依照法律法规为基金的利益行使因基金财产投资所产生的权利；</w:t>
      </w:r>
    </w:p>
    <w:p w14:paraId="4A735B84"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（11）在法律法规允许的前提下，为基金的利益依法为基金申请和办理融资、转融通证券出借等相关业务；</w:t>
      </w:r>
    </w:p>
    <w:p w14:paraId="468AB789"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（12）以基金管理人的名义，代表基金份额持有人的利益行使诉讼权利或者实施其他法律行为；</w:t>
      </w:r>
    </w:p>
    <w:p w14:paraId="52AFE1C7"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（13）选择、更换</w:t>
      </w:r>
      <w:r>
        <w:rPr>
          <w:rFonts w:ascii="宋体" w:hAnsi="宋体" w:cs="Arial" w:hint="eastAsia"/>
          <w:bCs/>
          <w:sz w:val="24"/>
        </w:rPr>
        <w:t>为本基金提供销售、支付结算、基金份额注册登记、估值、投资顾问、法律、会计、证券经纪商等服务的机构并确定相关费率，对该等服务机构的相关行为进行监督和处理</w:t>
      </w:r>
      <w:r>
        <w:rPr>
          <w:rFonts w:ascii="宋体" w:hAnsi="宋体" w:cs="Arial"/>
          <w:bCs/>
          <w:sz w:val="24"/>
        </w:rPr>
        <w:t>；</w:t>
      </w:r>
    </w:p>
    <w:p w14:paraId="4075756C" w14:textId="48765D35" w:rsidR="00C52815" w:rsidRDefault="005C44F4">
      <w:pPr>
        <w:spacing w:line="440" w:lineRule="atLeast"/>
        <w:ind w:firstLineChars="200" w:firstLine="480"/>
        <w:rPr>
          <w:rFonts w:ascii="宋体" w:hAnsi="宋体" w:cs="Arial"/>
          <w:bCs/>
          <w:sz w:val="24"/>
        </w:rPr>
      </w:pPr>
      <w:r>
        <w:rPr>
          <w:rFonts w:ascii="宋体" w:hAnsi="宋体" w:cs="Arial"/>
          <w:bCs/>
          <w:sz w:val="24"/>
        </w:rPr>
        <w:t>（</w:t>
      </w:r>
      <w:r>
        <w:rPr>
          <w:rFonts w:ascii="宋体" w:hAnsi="宋体" w:cs="Arial" w:hint="eastAsia"/>
          <w:bCs/>
          <w:sz w:val="24"/>
        </w:rPr>
        <w:t>1</w:t>
      </w:r>
      <w:r>
        <w:rPr>
          <w:rFonts w:ascii="宋体" w:hAnsi="宋体" w:cs="Arial"/>
          <w:bCs/>
          <w:sz w:val="24"/>
        </w:rPr>
        <w:t>4）在符合有关法律、法规、《基金合同》、相关证券交易所及登记结算机构相关业务规则的前提下，制订、修改并公布有关基金认购、申购、赎回及其他相关业务规则；</w:t>
      </w:r>
    </w:p>
    <w:p w14:paraId="7FE29BF5" w14:textId="2E939A4D" w:rsidR="00690332" w:rsidRDefault="00690332" w:rsidP="00AD52E8">
      <w:pPr>
        <w:spacing w:line="440" w:lineRule="atLeast"/>
        <w:ind w:firstLineChars="200" w:firstLine="480"/>
        <w:rPr>
          <w:rFonts w:ascii="宋体" w:hAnsi="宋体" w:cs="Arial"/>
          <w:bCs/>
          <w:sz w:val="24"/>
        </w:rPr>
      </w:pPr>
      <w:r w:rsidRPr="00690332">
        <w:rPr>
          <w:rFonts w:ascii="宋体" w:hAnsi="宋体" w:cs="Arial" w:hint="eastAsia"/>
          <w:bCs/>
          <w:sz w:val="24"/>
        </w:rPr>
        <w:t>（15）若本基金采用证券经纪商交易结算模式，即本基金将通过基金管理人选定的证券经纪商进行场内交易，并由选定的证券经纪商作为结算参与人代理本基金进行结算，</w:t>
      </w:r>
      <w:proofErr w:type="gramStart"/>
      <w:r w:rsidRPr="00690332">
        <w:rPr>
          <w:rFonts w:ascii="宋体" w:hAnsi="宋体" w:cs="Arial" w:hint="eastAsia"/>
          <w:bCs/>
          <w:sz w:val="24"/>
        </w:rPr>
        <w:t>则基金</w:t>
      </w:r>
      <w:proofErr w:type="gramEnd"/>
      <w:r w:rsidRPr="00690332">
        <w:rPr>
          <w:rFonts w:ascii="宋体" w:hAnsi="宋体" w:cs="Arial" w:hint="eastAsia"/>
          <w:bCs/>
          <w:sz w:val="24"/>
        </w:rPr>
        <w:t>管理人、基金托管人须与选择的证券经纪商签订相关协议，约定证券经纪商应履行的相关交易结算和交易监控等职责；</w:t>
      </w:r>
    </w:p>
    <w:p w14:paraId="601C08A3" w14:textId="0D25784C" w:rsidR="00C52815" w:rsidRDefault="005C44F4" w:rsidP="00AD52E8">
      <w:pPr>
        <w:spacing w:line="440" w:lineRule="atLeast"/>
        <w:ind w:firstLineChars="200" w:firstLine="480"/>
        <w:rPr>
          <w:rFonts w:ascii="宋体" w:hAnsi="宋体" w:cs="Arial"/>
          <w:bCs/>
          <w:sz w:val="24"/>
        </w:rPr>
      </w:pPr>
      <w:r>
        <w:rPr>
          <w:rFonts w:ascii="宋体" w:hAnsi="宋体" w:cs="Arial"/>
          <w:bCs/>
          <w:sz w:val="24"/>
        </w:rPr>
        <w:t>（1</w:t>
      </w:r>
      <w:r w:rsidR="00690332">
        <w:rPr>
          <w:rFonts w:ascii="宋体" w:hAnsi="宋体" w:cs="Arial"/>
          <w:bCs/>
          <w:sz w:val="24"/>
        </w:rPr>
        <w:t>6</w:t>
      </w:r>
      <w:r>
        <w:rPr>
          <w:rFonts w:ascii="宋体" w:hAnsi="宋体" w:cs="Arial"/>
          <w:bCs/>
          <w:sz w:val="24"/>
        </w:rPr>
        <w:t>）法律法规及中国证监会规定的和《基金合同》约定的其他权利。</w:t>
      </w:r>
    </w:p>
    <w:p w14:paraId="21C8A9D8"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2、根据《基金法》、《运作办法》及其他有关规定，基金管理人的义务包括但不限于：</w:t>
      </w:r>
    </w:p>
    <w:p w14:paraId="2A288808"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（1）依法募集资金，办理或者委托经中国证监会认定的其他机构代为办理基金份额的发售、申购、赎回和登记结算事宜；</w:t>
      </w:r>
    </w:p>
    <w:p w14:paraId="6FF75619"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（2）办理基金备案手续；</w:t>
      </w:r>
    </w:p>
    <w:p w14:paraId="7EAEE9F3"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（3）自《基金合同》生效之日起，以诚实信用、谨慎勤勉的原则管理和运用基金财产；</w:t>
      </w:r>
    </w:p>
    <w:p w14:paraId="17520CA3"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（4）配备足够的具有专业资格的人员进行基金投资分析、决策，以专业化的经营方式管理和运作基金财产；</w:t>
      </w:r>
    </w:p>
    <w:p w14:paraId="41BB7858"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（5）建立健全内部风险控制、监察与稽核、财务管理及人事管理等制度，保证所管理的基金财产和基金管理人的财产相互独立，对所管理的不同基金分</w:t>
      </w:r>
      <w:r>
        <w:rPr>
          <w:rFonts w:ascii="宋体" w:hAnsi="宋体" w:cs="Arial"/>
          <w:bCs/>
          <w:sz w:val="24"/>
        </w:rPr>
        <w:lastRenderedPageBreak/>
        <w:t>别管理，分别记账，进行证券投资；</w:t>
      </w:r>
    </w:p>
    <w:p w14:paraId="5004AB7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（6）除依据《基金法》、《基金合同》及其他有关规定外，不得利用基金财产为自己及任何第三人谋取利益，不得委托第三人运作基金财产；</w:t>
      </w:r>
    </w:p>
    <w:p w14:paraId="5E33233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（7）依法接受基金托管人的监督；</w:t>
      </w:r>
    </w:p>
    <w:p w14:paraId="6AD9C74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（8）采取适当合理的措施使计算基金份额认购价格、申购对价、赎回对价的方法符合《基金合同》等法律文件的规定，按有关规定计算并公告基金净值信息，确定基金份额申购、赎回对价，编制申购赎回清单；</w:t>
      </w:r>
    </w:p>
    <w:p w14:paraId="3FBF86C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（9）进行基金会计核算并编制基金财务会计报告；</w:t>
      </w:r>
    </w:p>
    <w:p w14:paraId="31A3385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（10）编制季度报告、中期报告和年度报告；</w:t>
      </w:r>
    </w:p>
    <w:p w14:paraId="5DB65C7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（11）严格按照《基金法》、《基金合同》及其他有关规定，履行信息披露及报告义务；</w:t>
      </w:r>
    </w:p>
    <w:p w14:paraId="3805434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12）保守基金商业秘密，不泄露基金投资计划、投资意向等。除《基金法》、《基金合同》及其他有关规定另有规定或向有权机关或审计、法律等外部专业顾问提供外，在基金信息公开披露前应予保密，不向他人泄露；</w:t>
      </w:r>
    </w:p>
    <w:p w14:paraId="3CF2C7A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（13）按《基金合同》的约定确定基金收益分配方案，及时向基金份额持有人分配基金收益；</w:t>
      </w:r>
    </w:p>
    <w:p w14:paraId="48E2D2E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（14）按规定受理申购与赎回申请，及时、足额支付赎回对价；</w:t>
      </w:r>
    </w:p>
    <w:p w14:paraId="40C18AF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（15）依据《基金法》、《基金合同》及其他有关规定召集基金份额持有人大会或配合基金托管人、基金份额持有人依法召集基金份额持有人大会；</w:t>
      </w:r>
    </w:p>
    <w:p w14:paraId="5BFDBFA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（16）按规定保存基金财产管理业务活动的会计账册、报表、记录和其他相关资料，保存期限不低于法律法规规定的最低年限；</w:t>
      </w:r>
    </w:p>
    <w:p w14:paraId="30AF8A1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952902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（18）组织并参加基金财产清算小组，参与基金财产的保管、清理、估价、变现和分配；</w:t>
      </w:r>
    </w:p>
    <w:p w14:paraId="4F71915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（19）面临解散、依法被撤销或者被依法宣告破产时，及时报告中国证监会并通知基金托管人；</w:t>
      </w:r>
    </w:p>
    <w:p w14:paraId="52E1C0F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（20）因违反《基金合同》导致基金财产的损失或损害基金份额持有人合法权益时，应当承担赔偿责任，其赔偿责任不因其退任而免除；</w:t>
      </w:r>
    </w:p>
    <w:p w14:paraId="39B5E349"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（21）监督基金托管人按法律法规和《基金合同》规定履行自己的义务，基金托管人违反《基金合同》造成基金财产损失时，基金管理人应为基金份额持有人利益向基金托管人追偿；</w:t>
      </w:r>
    </w:p>
    <w:p w14:paraId="11DD298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（22）当基金管理人将其义务委托第三方处理时，应当对第三方处理有关基金事务的行为承担责任；</w:t>
      </w:r>
    </w:p>
    <w:p w14:paraId="6C8F213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（23）以基金管理人名义，代表基金份额持有人利益行使诉讼权利或实施其他法律行为；</w:t>
      </w:r>
    </w:p>
    <w:p w14:paraId="49FA40E1" w14:textId="4E163D0C" w:rsidR="00C52815" w:rsidRDefault="005C44F4">
      <w:pPr>
        <w:spacing w:line="360" w:lineRule="auto"/>
        <w:ind w:firstLineChars="200" w:firstLine="480"/>
        <w:rPr>
          <w:rFonts w:ascii="宋体" w:hAnsi="宋体" w:cs="Arial"/>
          <w:bCs/>
          <w:sz w:val="24"/>
        </w:rPr>
      </w:pPr>
      <w:r>
        <w:rPr>
          <w:rFonts w:ascii="宋体" w:hAnsi="宋体" w:cs="Arial"/>
          <w:bCs/>
          <w:sz w:val="24"/>
        </w:rPr>
        <w:t>（24）</w:t>
      </w:r>
      <w:r w:rsidR="00041270" w:rsidRPr="00041270">
        <w:rPr>
          <w:rFonts w:ascii="宋体" w:hAnsi="宋体" w:cs="Arial" w:hint="eastAsia"/>
          <w:bCs/>
          <w:sz w:val="24"/>
        </w:rPr>
        <w:t>基金管理人在募集期满未能达到基金的备案条件，《基金合同》不能生效，基金管理人应将已交纳的认购款项（加计银行同期活期存款利息）在基金募集期结束后30日内退还基金认购人，同时基金募集期间网下股票认购所冻结的股票予以解冻并退还投资人</w:t>
      </w:r>
      <w:r>
        <w:rPr>
          <w:rFonts w:ascii="宋体" w:hAnsi="宋体" w:cs="Arial"/>
          <w:bCs/>
          <w:sz w:val="24"/>
        </w:rPr>
        <w:t>；</w:t>
      </w:r>
    </w:p>
    <w:p w14:paraId="2097C1F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（25）执行生效的基金份额持有人大会的决议；</w:t>
      </w:r>
    </w:p>
    <w:p w14:paraId="78FA075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（26）建立并保存基金份额持有人名册；</w:t>
      </w:r>
    </w:p>
    <w:p w14:paraId="309ABC41" w14:textId="76186791" w:rsidR="006E5AAD" w:rsidRDefault="006E5AAD">
      <w:pPr>
        <w:autoSpaceDE w:val="0"/>
        <w:autoSpaceDN w:val="0"/>
        <w:adjustRightInd w:val="0"/>
        <w:spacing w:line="360" w:lineRule="auto"/>
        <w:ind w:firstLine="480"/>
        <w:jc w:val="left"/>
        <w:rPr>
          <w:rFonts w:ascii="宋体" w:hAnsi="宋体" w:cs="Arial"/>
          <w:bCs/>
          <w:sz w:val="24"/>
        </w:rPr>
      </w:pPr>
      <w:r w:rsidRPr="006E5AAD">
        <w:rPr>
          <w:rFonts w:ascii="宋体" w:hAnsi="宋体" w:cs="Arial" w:hint="eastAsia"/>
          <w:bCs/>
          <w:sz w:val="24"/>
        </w:rPr>
        <w:t>（2</w:t>
      </w:r>
      <w:r w:rsidR="00F10AE6">
        <w:rPr>
          <w:rFonts w:ascii="宋体" w:hAnsi="宋体" w:cs="Arial"/>
          <w:bCs/>
          <w:sz w:val="24"/>
        </w:rPr>
        <w:t>7</w:t>
      </w:r>
      <w:r w:rsidRPr="006E5AAD">
        <w:rPr>
          <w:rFonts w:ascii="宋体" w:hAnsi="宋体" w:cs="Arial" w:hint="eastAsia"/>
          <w:bCs/>
          <w:sz w:val="24"/>
        </w:rPr>
        <w:t>）按照《中华人民共和国反洗钱法》等有关反洗钱的法律法规和监管要求履行反洗钱义务；</w:t>
      </w:r>
    </w:p>
    <w:p w14:paraId="13DAC965" w14:textId="214A2D26" w:rsidR="00C52815" w:rsidRDefault="005C44F4">
      <w:pPr>
        <w:autoSpaceDE w:val="0"/>
        <w:autoSpaceDN w:val="0"/>
        <w:adjustRightInd w:val="0"/>
        <w:spacing w:line="360" w:lineRule="auto"/>
        <w:ind w:firstLine="480"/>
        <w:jc w:val="left"/>
        <w:rPr>
          <w:rFonts w:ascii="宋体" w:hAnsi="宋体" w:cs="Arial"/>
          <w:bCs/>
          <w:sz w:val="24"/>
        </w:rPr>
      </w:pPr>
      <w:r>
        <w:rPr>
          <w:rFonts w:ascii="宋体" w:hAnsi="宋体" w:cs="Arial" w:hint="eastAsia"/>
          <w:bCs/>
          <w:sz w:val="24"/>
        </w:rPr>
        <w:t>（2</w:t>
      </w:r>
      <w:r w:rsidR="00F10AE6">
        <w:rPr>
          <w:rFonts w:ascii="宋体" w:hAnsi="宋体" w:cs="Arial"/>
          <w:bCs/>
          <w:sz w:val="24"/>
        </w:rPr>
        <w:t>8</w:t>
      </w:r>
      <w:r>
        <w:rPr>
          <w:rFonts w:ascii="宋体" w:hAnsi="宋体" w:cs="Arial" w:hint="eastAsia"/>
          <w:bCs/>
          <w:sz w:val="24"/>
        </w:rPr>
        <w:t>）</w:t>
      </w:r>
      <w:r>
        <w:rPr>
          <w:rFonts w:ascii="宋体" w:hAnsi="宋体" w:cs="Arial"/>
          <w:bCs/>
          <w:sz w:val="24"/>
        </w:rPr>
        <w:t>法律法规及中国证监会规定的和《基金合同》约定的其他义务。</w:t>
      </w:r>
    </w:p>
    <w:p w14:paraId="4B6CD7A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w:t>
      </w:r>
      <w:r>
        <w:rPr>
          <w:rFonts w:ascii="宋体" w:hAnsi="宋体" w:cs="Arial"/>
          <w:bCs/>
          <w:sz w:val="24"/>
        </w:rPr>
        <w:tab/>
        <w:t>基金托管人的权利与义务</w:t>
      </w:r>
    </w:p>
    <w:p w14:paraId="2999B85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1、根据《基金法》、《运作办法》及其他有关规定，基金托管人的权利包括但不限于：</w:t>
      </w:r>
    </w:p>
    <w:p w14:paraId="0942EFC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（1）自《基金合同》生效之日起，依法</w:t>
      </w:r>
      <w:proofErr w:type="gramStart"/>
      <w:r>
        <w:rPr>
          <w:rFonts w:ascii="宋体" w:hAnsi="宋体" w:cs="Arial"/>
          <w:bCs/>
          <w:sz w:val="24"/>
        </w:rPr>
        <w:t>律法规</w:t>
      </w:r>
      <w:proofErr w:type="gramEnd"/>
      <w:r>
        <w:rPr>
          <w:rFonts w:ascii="宋体" w:hAnsi="宋体" w:cs="Arial"/>
          <w:bCs/>
          <w:sz w:val="24"/>
        </w:rPr>
        <w:t>和《基金合同》的规定安全保管基金财产；</w:t>
      </w:r>
    </w:p>
    <w:p w14:paraId="67F561E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（2）依《基金合同》约定获得基金托管费以及法律法规规定或监管部门批准的其他费用；</w:t>
      </w:r>
    </w:p>
    <w:p w14:paraId="4BB9FF7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98A273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（4）根据相关市场规则，为基金开设或注销证券账户、资金账户等投资所需账户，为基金办理证券、期货交易资金清算；</w:t>
      </w:r>
    </w:p>
    <w:p w14:paraId="040F183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（5）提议召开或召集基金份额持有人大会；</w:t>
      </w:r>
    </w:p>
    <w:p w14:paraId="521FAD8C"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（6）在基金管理人更换时，提名新的基金管理人；</w:t>
      </w:r>
    </w:p>
    <w:p w14:paraId="2451B1F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（7）法律法规及中国证监会规定的和《基金合同》约定的其他权利。</w:t>
      </w:r>
    </w:p>
    <w:p w14:paraId="6D25565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2、根据《基金法》、《运作办法》及其他有关规定，基金托管人的义务包括但不限于：</w:t>
      </w:r>
    </w:p>
    <w:p w14:paraId="4C6DA92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（1）以诚实信用、勤勉尽责的原则持有并安全保管基金财产；</w:t>
      </w:r>
    </w:p>
    <w:p w14:paraId="260053C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（2）设立专门的基金托管部门，具有符合要求的营业场所，配备足够的、合格的熟悉基金托管业务的专职人员，负责基金财产托管事宜；</w:t>
      </w:r>
    </w:p>
    <w:p w14:paraId="759BD69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684F12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（4）除依据《基金法》、《基金合同》及其他有关规定外，不得利用基金财产为自己及任何第三人谋取利益，不得委托第三人托管基金财产；</w:t>
      </w:r>
    </w:p>
    <w:p w14:paraId="6524D80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（5）保管由基金管理人代表基金签订的与基金有关的重大合同及有关凭证；</w:t>
      </w:r>
    </w:p>
    <w:p w14:paraId="517FB96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（6）按规定开设或注销基金财产的资金账户、证券账户及投资所需的账户，按照《基金合同》的约定，根据基金管理人的投资指令，及时办理清算、交割事宜；</w:t>
      </w:r>
    </w:p>
    <w:p w14:paraId="2BF8040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（7）保守基金商业秘密，除《基金法》、《基金合同》及其他有关规定另有规定或向有权机关或审计、法律等外部专业顾问提供外，在基金信息公开披露前予以保密，不得向他人泄露；</w:t>
      </w:r>
    </w:p>
    <w:p w14:paraId="64C02E9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（8）复核、审查基金管理人计算的基金资产净值、基金份额净值、基金份额申购、赎回对价的现金部分；</w:t>
      </w:r>
    </w:p>
    <w:p w14:paraId="3BC7C50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（9）办理与基金托管业务活动有关的信息披露事项；</w:t>
      </w:r>
    </w:p>
    <w:p w14:paraId="79DE482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F83CDBF" w14:textId="0E0CEF8E" w:rsidR="00C52815" w:rsidRDefault="005C44F4">
      <w:pPr>
        <w:spacing w:line="360" w:lineRule="auto"/>
        <w:ind w:firstLineChars="200" w:firstLine="480"/>
        <w:rPr>
          <w:rFonts w:ascii="宋体" w:hAnsi="宋体" w:cs="Arial"/>
          <w:bCs/>
          <w:sz w:val="24"/>
        </w:rPr>
      </w:pPr>
      <w:r>
        <w:rPr>
          <w:rFonts w:ascii="宋体" w:hAnsi="宋体" w:cs="Arial"/>
          <w:bCs/>
          <w:sz w:val="24"/>
        </w:rPr>
        <w:t>（11）保存基金托管业务活动的记录、账册、报表和其他相关资料，保存期限</w:t>
      </w:r>
      <w:r w:rsidR="005F34D1" w:rsidRPr="005F34D1">
        <w:rPr>
          <w:rFonts w:ascii="宋体" w:hAnsi="宋体" w:cs="Arial" w:hint="eastAsia"/>
          <w:bCs/>
          <w:sz w:val="24"/>
        </w:rPr>
        <w:t>按照法律法规的规定执行</w:t>
      </w:r>
      <w:r>
        <w:rPr>
          <w:rFonts w:ascii="宋体" w:hAnsi="宋体" w:cs="Arial"/>
          <w:bCs/>
          <w:sz w:val="24"/>
        </w:rPr>
        <w:t>；</w:t>
      </w:r>
    </w:p>
    <w:p w14:paraId="5E790BB3"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（12）保存从基金管理人或其委托的登记结算机构处接收的基金份额持有人名册；</w:t>
      </w:r>
    </w:p>
    <w:p w14:paraId="64C2C0C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（13）按规定制作相关账册并与基金管理人核对；</w:t>
      </w:r>
    </w:p>
    <w:p w14:paraId="1E6A313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（14）依据基金管理人的指令或有关规定向基金份额持有人支付基金收益和赎回对价的现金部分；</w:t>
      </w:r>
    </w:p>
    <w:p w14:paraId="6AEFCBA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（15）依据《基金法》、《基金合同》及其他有关规定，召集基金份额持有人大会或配合基金管理人、基金份额持有人依法召集基金份额持有人大会；</w:t>
      </w:r>
    </w:p>
    <w:p w14:paraId="0C656F8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（16）按照法律法规和《基金合同》的规定监督基金管理人的投资运作；</w:t>
      </w:r>
    </w:p>
    <w:p w14:paraId="2A73A8F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（17）参加基金财产清算小组，参与基金财产的保管、清理、估价、变现和分配；</w:t>
      </w:r>
    </w:p>
    <w:p w14:paraId="3225E44C" w14:textId="0354F51C" w:rsidR="00C52815" w:rsidRDefault="005C44F4">
      <w:pPr>
        <w:spacing w:line="360" w:lineRule="auto"/>
        <w:ind w:firstLineChars="200" w:firstLine="480"/>
        <w:rPr>
          <w:rFonts w:ascii="宋体" w:hAnsi="宋体" w:cs="Arial"/>
          <w:bCs/>
          <w:sz w:val="24"/>
        </w:rPr>
      </w:pPr>
      <w:r>
        <w:rPr>
          <w:rFonts w:ascii="宋体" w:hAnsi="宋体" w:cs="Arial"/>
          <w:bCs/>
          <w:sz w:val="24"/>
        </w:rPr>
        <w:t>（18）</w:t>
      </w:r>
      <w:r w:rsidR="00041270" w:rsidRPr="00041270">
        <w:rPr>
          <w:rFonts w:ascii="宋体" w:hAnsi="宋体" w:cs="Arial" w:hint="eastAsia"/>
          <w:bCs/>
          <w:sz w:val="24"/>
        </w:rPr>
        <w:t>面临解散、依法被撤销或者被依法宣告破产时，及时报告中国证监会和银行业监督管理机构，并通知基金管理人</w:t>
      </w:r>
      <w:r>
        <w:rPr>
          <w:rFonts w:ascii="宋体" w:hAnsi="宋体" w:cs="Arial"/>
          <w:bCs/>
          <w:sz w:val="24"/>
        </w:rPr>
        <w:t>；</w:t>
      </w:r>
    </w:p>
    <w:p w14:paraId="72B405E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（19）因违反《基金合同》导致基金财产损失时，应承担赔偿责任，其赔偿责任不因其退任而免除；</w:t>
      </w:r>
    </w:p>
    <w:p w14:paraId="7F538E5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（20）按规定监督基金管理人按法律法规和《基金合同》规定履行自己的义务，基金管理人因违反《基金合同》造成基金财产损失时，应为基金份额持有人利益向基金管理人追偿；</w:t>
      </w:r>
    </w:p>
    <w:p w14:paraId="43897401" w14:textId="178EE46B" w:rsidR="00C52815" w:rsidRDefault="005C44F4">
      <w:pPr>
        <w:spacing w:line="360" w:lineRule="auto"/>
        <w:ind w:firstLineChars="200" w:firstLine="480"/>
        <w:rPr>
          <w:rFonts w:ascii="宋体" w:hAnsi="宋体" w:cs="Arial"/>
          <w:bCs/>
          <w:sz w:val="24"/>
        </w:rPr>
      </w:pPr>
      <w:r>
        <w:rPr>
          <w:rFonts w:ascii="宋体" w:hAnsi="宋体" w:cs="Arial"/>
          <w:bCs/>
          <w:sz w:val="24"/>
        </w:rPr>
        <w:t>（21）执行生效的基金份额持有人大会的决议；</w:t>
      </w:r>
    </w:p>
    <w:p w14:paraId="5FDD8B40" w14:textId="501796C1" w:rsidR="001839FD" w:rsidRPr="001839FD" w:rsidRDefault="001839FD">
      <w:pPr>
        <w:spacing w:line="360" w:lineRule="auto"/>
        <w:ind w:firstLineChars="200" w:firstLine="480"/>
        <w:rPr>
          <w:rFonts w:ascii="宋体" w:hAnsi="宋体" w:cs="Arial"/>
          <w:bCs/>
          <w:sz w:val="24"/>
        </w:rPr>
      </w:pPr>
      <w:r w:rsidRPr="00D31A44">
        <w:rPr>
          <w:rFonts w:asciiTheme="majorEastAsia" w:eastAsiaTheme="majorEastAsia" w:hAnsiTheme="majorEastAsia" w:hint="eastAsia"/>
          <w:bCs/>
          <w:sz w:val="24"/>
        </w:rPr>
        <w:t>（</w:t>
      </w:r>
      <w:r w:rsidRPr="00D31A44">
        <w:rPr>
          <w:rFonts w:asciiTheme="majorEastAsia" w:eastAsiaTheme="majorEastAsia" w:hAnsiTheme="majorEastAsia"/>
          <w:bCs/>
          <w:sz w:val="24"/>
        </w:rPr>
        <w:t>22</w:t>
      </w:r>
      <w:r w:rsidRPr="00D31A44">
        <w:rPr>
          <w:rFonts w:asciiTheme="majorEastAsia" w:eastAsiaTheme="majorEastAsia" w:hAnsiTheme="majorEastAsia" w:hint="eastAsia"/>
          <w:bCs/>
          <w:sz w:val="24"/>
        </w:rPr>
        <w:t>）按</w:t>
      </w:r>
      <w:r w:rsidRPr="00FE36B1">
        <w:rPr>
          <w:rFonts w:hint="eastAsia"/>
          <w:bCs/>
          <w:sz w:val="24"/>
        </w:rPr>
        <w:t>照《中华人民共和国反洗钱法》等有关反洗钱的法律法规和监管要求履行反洗钱义务；</w:t>
      </w:r>
    </w:p>
    <w:p w14:paraId="0B342BB3" w14:textId="0B60F024" w:rsidR="00C52815" w:rsidRDefault="005C44F4">
      <w:pPr>
        <w:autoSpaceDE w:val="0"/>
        <w:autoSpaceDN w:val="0"/>
        <w:adjustRightInd w:val="0"/>
        <w:spacing w:line="360" w:lineRule="auto"/>
        <w:ind w:firstLine="480"/>
        <w:jc w:val="left"/>
        <w:rPr>
          <w:rFonts w:ascii="宋体" w:hAnsi="宋体" w:cs="Arial"/>
          <w:bCs/>
          <w:sz w:val="24"/>
        </w:rPr>
      </w:pPr>
      <w:r>
        <w:rPr>
          <w:rFonts w:ascii="宋体" w:hAnsi="宋体" w:cs="Arial"/>
          <w:bCs/>
          <w:sz w:val="24"/>
        </w:rPr>
        <w:t>（2</w:t>
      </w:r>
      <w:r w:rsidR="001839FD">
        <w:rPr>
          <w:rFonts w:ascii="宋体" w:hAnsi="宋体" w:cs="Arial"/>
          <w:bCs/>
          <w:sz w:val="24"/>
        </w:rPr>
        <w:t>3</w:t>
      </w:r>
      <w:r>
        <w:rPr>
          <w:rFonts w:ascii="宋体" w:hAnsi="宋体" w:cs="Arial"/>
          <w:bCs/>
          <w:sz w:val="24"/>
        </w:rPr>
        <w:t>）法律法规及中国证监会规定的和《基金合同》约定的其他义务。</w:t>
      </w:r>
    </w:p>
    <w:p w14:paraId="6B7D23A1" w14:textId="77777777" w:rsidR="00C52815" w:rsidRDefault="00C52815">
      <w:pPr>
        <w:autoSpaceDE w:val="0"/>
        <w:autoSpaceDN w:val="0"/>
        <w:adjustRightInd w:val="0"/>
        <w:spacing w:line="360" w:lineRule="auto"/>
        <w:ind w:firstLine="480"/>
        <w:jc w:val="left"/>
        <w:rPr>
          <w:rFonts w:ascii="宋体" w:hAnsi="宋体" w:cs="Arial"/>
          <w:bCs/>
          <w:sz w:val="24"/>
        </w:rPr>
      </w:pPr>
    </w:p>
    <w:p w14:paraId="3ACCBAC5" w14:textId="77777777" w:rsidR="00C52815" w:rsidRDefault="005C44F4">
      <w:pPr>
        <w:autoSpaceDE w:val="0"/>
        <w:autoSpaceDN w:val="0"/>
        <w:adjustRightInd w:val="0"/>
        <w:spacing w:line="360" w:lineRule="auto"/>
        <w:ind w:firstLine="482"/>
        <w:jc w:val="left"/>
        <w:rPr>
          <w:rFonts w:ascii="宋体" w:hAnsi="宋体" w:cs="Arial"/>
          <w:b/>
          <w:sz w:val="24"/>
          <w:szCs w:val="24"/>
        </w:rPr>
      </w:pPr>
      <w:r>
        <w:rPr>
          <w:rFonts w:ascii="宋体" w:hAnsi="宋体" w:cs="Arial"/>
          <w:b/>
          <w:sz w:val="24"/>
          <w:szCs w:val="24"/>
        </w:rPr>
        <w:t>二、基金份额持有人大会召集、议事及表决的程序和规则</w:t>
      </w:r>
    </w:p>
    <w:p w14:paraId="5B25E4F7" w14:textId="300196E9"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基金份额持有人大会由基金份额持有人组成，基金份额持有人的合法授权代表有权代表基金份额持有人出席会议并表决。除</w:t>
      </w:r>
      <w:r w:rsidR="008A7D00">
        <w:rPr>
          <w:rFonts w:ascii="宋体" w:hAnsi="宋体" w:cs="Arial"/>
          <w:bCs/>
          <w:sz w:val="24"/>
        </w:rPr>
        <w:t>法律法规另有规定或</w:t>
      </w:r>
      <w:r>
        <w:rPr>
          <w:rFonts w:ascii="宋体" w:hAnsi="宋体" w:cs="Arial"/>
          <w:bCs/>
          <w:sz w:val="24"/>
        </w:rPr>
        <w:t>基金合同另有约定外，基金份额持有人持有的每一基金份额拥有平等的权利。</w:t>
      </w:r>
    </w:p>
    <w:p w14:paraId="57CDC9E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ETF联接基金的基金合同生效后，</w:t>
      </w:r>
      <w:proofErr w:type="gramStart"/>
      <w:r>
        <w:rPr>
          <w:rFonts w:ascii="宋体" w:hAnsi="宋体" w:cs="Arial"/>
          <w:bCs/>
          <w:sz w:val="24"/>
        </w:rPr>
        <w:t>鉴于本</w:t>
      </w:r>
      <w:proofErr w:type="gramEnd"/>
      <w:r>
        <w:rPr>
          <w:rFonts w:ascii="宋体" w:hAnsi="宋体" w:cs="Arial"/>
          <w:bCs/>
          <w:sz w:val="24"/>
        </w:rPr>
        <w:t>基金和ETF联接基金的相关性，ETF联接基金的基金份额持有人可以凭所持有的ETF联接基金的基金份额出席或者委派代表出席本基金的基金份额持有人大会并参与表决。在计算参会份额和</w:t>
      </w:r>
      <w:r>
        <w:rPr>
          <w:rFonts w:ascii="宋体" w:hAnsi="宋体" w:cs="Arial"/>
          <w:bCs/>
          <w:sz w:val="24"/>
        </w:rPr>
        <w:lastRenderedPageBreak/>
        <w:t>计票时，ETF联接基金持有人持有的享有表决权的基金份额数和表决票数为，在本</w:t>
      </w:r>
      <w:proofErr w:type="gramStart"/>
      <w:r>
        <w:rPr>
          <w:rFonts w:ascii="宋体" w:hAnsi="宋体" w:cs="Arial"/>
          <w:bCs/>
          <w:sz w:val="24"/>
        </w:rPr>
        <w:t>基金基金</w:t>
      </w:r>
      <w:proofErr w:type="gramEnd"/>
      <w:r>
        <w:rPr>
          <w:rFonts w:ascii="宋体" w:hAnsi="宋体" w:cs="Arial"/>
          <w:bCs/>
          <w:sz w:val="24"/>
        </w:rPr>
        <w:t>份额持有人大会的权益登记日，ETF联接基金持有本基金份额的总数乘以该基金份额持有人所持有的ETF联接基金份额占ETF联接基金总份额的比例，计算结果按照四舍五入的方法，保留到整数位。</w:t>
      </w:r>
    </w:p>
    <w:p w14:paraId="0CC835A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ETF联接基金的基金管理人不应以ETF联接基金的名义代表ETF联接基金的全体基金份额持有人以本基金的基金份额持有人的身份行使表决权，但可接受ETF联接基金的</w:t>
      </w:r>
      <w:proofErr w:type="gramStart"/>
      <w:r>
        <w:rPr>
          <w:rFonts w:ascii="宋体" w:hAnsi="宋体" w:cs="Arial"/>
          <w:bCs/>
          <w:sz w:val="24"/>
        </w:rPr>
        <w:t>特定基金</w:t>
      </w:r>
      <w:proofErr w:type="gramEnd"/>
      <w:r>
        <w:rPr>
          <w:rFonts w:ascii="宋体" w:hAnsi="宋体" w:cs="Arial"/>
          <w:bCs/>
          <w:sz w:val="24"/>
        </w:rPr>
        <w:t>份额持有人的委托以ETF联接基金的基金份额持有人代理人的身份出席本基金的基金份额持有人大会并参与表决。</w:t>
      </w:r>
    </w:p>
    <w:p w14:paraId="77C030F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ETF联接基金的基金管理人代表ETF联接基金的基金份额持有人提议召开或召集本基金份额持有人大会的，须先遵照ETF联接</w:t>
      </w:r>
      <w:proofErr w:type="gramStart"/>
      <w:r>
        <w:rPr>
          <w:rFonts w:ascii="宋体" w:hAnsi="宋体" w:cs="Arial"/>
          <w:bCs/>
          <w:sz w:val="24"/>
        </w:rPr>
        <w:t>基金基金</w:t>
      </w:r>
      <w:proofErr w:type="gramEnd"/>
      <w:r>
        <w:rPr>
          <w:rFonts w:ascii="宋体" w:hAnsi="宋体" w:cs="Arial"/>
          <w:bCs/>
          <w:sz w:val="24"/>
        </w:rPr>
        <w:t>合同的约定召开ETF联接基金的基金份额持有人大会，ETF联接基金的基金份额持有人大会决定提议召开或召集本基金份额持有人大会的，由ETF联接基金的基金管理人代表ETF联接基金的基金份额持有人提议召开或召集本基金份额持有人大会。</w:t>
      </w:r>
    </w:p>
    <w:p w14:paraId="2323955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（一）召开事由</w:t>
      </w:r>
    </w:p>
    <w:p w14:paraId="27256FE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1、除法律法规，或基金合同，或中国证监会另有规定外，当需要决定下列事由之一的，应当召开基金份额持有人大会：</w:t>
      </w:r>
    </w:p>
    <w:p w14:paraId="624261A1"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（1）终止基金合同；</w:t>
      </w:r>
    </w:p>
    <w:p w14:paraId="27A85B98"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（2）更换基金管理人；</w:t>
      </w:r>
    </w:p>
    <w:p w14:paraId="00CEA499"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（3）更换基金托管人；</w:t>
      </w:r>
    </w:p>
    <w:p w14:paraId="128D34E9"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（4）转换基金运作方式；</w:t>
      </w:r>
    </w:p>
    <w:p w14:paraId="4E339261"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（5）调整基金管理人、基金托管人的报酬标准；</w:t>
      </w:r>
    </w:p>
    <w:p w14:paraId="2B83805F"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（6）变更基金类别；</w:t>
      </w:r>
    </w:p>
    <w:p w14:paraId="6EE098AC"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（7）本基金与其他基金的合并；</w:t>
      </w:r>
    </w:p>
    <w:p w14:paraId="394DE85C"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（8）变更基金投资目标、范围或策略；</w:t>
      </w:r>
    </w:p>
    <w:p w14:paraId="7CD7DE38"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（9）变更基金份额持有人大会程序；</w:t>
      </w:r>
    </w:p>
    <w:p w14:paraId="00751185"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（10）对基金合同当事人权利和义务产生重大影响的其他事项；</w:t>
      </w:r>
    </w:p>
    <w:p w14:paraId="262DC281"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（11）终止基金上市，但因基金不再具备上市条件而被上海证券交易所终止上市的情形除外；</w:t>
      </w:r>
    </w:p>
    <w:p w14:paraId="448BA8A1"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（12）法律法规或基金合同或中国证监会规定的其他应当召开基金份额持有人大会的事项。</w:t>
      </w:r>
    </w:p>
    <w:p w14:paraId="3CD0FEB2"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2、在不违反法律法规有关规定和监管要求的前提下，以下情况可由基金管理人和基金托管人协商后修改，不需召开基金份额持有人大会：</w:t>
      </w:r>
    </w:p>
    <w:p w14:paraId="38C7B87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（1）法律法规要求增加的基金费用的收取；</w:t>
      </w:r>
    </w:p>
    <w:p w14:paraId="45A8A86C" w14:textId="77777777" w:rsidR="00622ED3" w:rsidRDefault="00622ED3" w:rsidP="00622ED3">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在</w:t>
      </w:r>
      <w:r>
        <w:rPr>
          <w:rFonts w:hint="eastAsia"/>
          <w:bCs/>
          <w:sz w:val="24"/>
        </w:rPr>
        <w:t>对基金份额持有人利益无实质性不利影响的前提下，</w:t>
      </w:r>
      <w:r>
        <w:rPr>
          <w:bCs/>
          <w:sz w:val="24"/>
        </w:rPr>
        <w:t>调整本基金的申购费率</w:t>
      </w:r>
      <w:r>
        <w:rPr>
          <w:rFonts w:hint="eastAsia"/>
          <w:bCs/>
          <w:sz w:val="24"/>
        </w:rPr>
        <w:t>或变更收费方式、调整本基金的基金份额类别的设置</w:t>
      </w:r>
      <w:r>
        <w:rPr>
          <w:bCs/>
          <w:sz w:val="24"/>
        </w:rPr>
        <w:t>；</w:t>
      </w:r>
    </w:p>
    <w:p w14:paraId="72520921" w14:textId="008AFEE5" w:rsidR="00622ED3" w:rsidRDefault="00622ED3" w:rsidP="00622ED3">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w:t>
      </w:r>
      <w:r>
        <w:rPr>
          <w:rFonts w:hint="eastAsia"/>
          <w:bCs/>
          <w:sz w:val="24"/>
        </w:rPr>
        <w:t>、</w:t>
      </w:r>
      <w:r>
        <w:rPr>
          <w:bCs/>
          <w:sz w:val="24"/>
        </w:rPr>
        <w:t>证券交易所或者登记</w:t>
      </w:r>
      <w:r w:rsidR="00C52A5E">
        <w:rPr>
          <w:rFonts w:hint="eastAsia"/>
          <w:bCs/>
          <w:sz w:val="24"/>
        </w:rPr>
        <w:t>结算</w:t>
      </w:r>
      <w:r>
        <w:rPr>
          <w:bCs/>
          <w:sz w:val="24"/>
        </w:rPr>
        <w:t>机构的相关业务规则发生变动而应当对基金合同进行修改；</w:t>
      </w:r>
    </w:p>
    <w:p w14:paraId="50352548" w14:textId="77777777" w:rsidR="00622ED3" w:rsidRDefault="00622ED3" w:rsidP="00622ED3">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21E42362" w14:textId="5F1EC5D6" w:rsidR="00622ED3" w:rsidRDefault="00622ED3" w:rsidP="00622ED3">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基金管理人、登记</w:t>
      </w:r>
      <w:r w:rsidR="00C52A5E" w:rsidRPr="005D1F43">
        <w:rPr>
          <w:rFonts w:hint="eastAsia"/>
          <w:bCs/>
          <w:sz w:val="24"/>
        </w:rPr>
        <w:t>结算</w:t>
      </w:r>
      <w:r>
        <w:rPr>
          <w:bCs/>
          <w:sz w:val="24"/>
        </w:rPr>
        <w:t>机构</w:t>
      </w:r>
      <w:r>
        <w:rPr>
          <w:rFonts w:hint="eastAsia"/>
          <w:bCs/>
          <w:sz w:val="24"/>
        </w:rPr>
        <w:t>、</w:t>
      </w:r>
      <w:r>
        <w:rPr>
          <w:bCs/>
          <w:sz w:val="24"/>
        </w:rPr>
        <w:t>销售机构在法律法规</w:t>
      </w:r>
      <w:r w:rsidR="00DA0EE9">
        <w:rPr>
          <w:bCs/>
          <w:sz w:val="24"/>
        </w:rPr>
        <w:t>和中国证监会规定范围内调整有关基金认购、申购、赎回、</w:t>
      </w:r>
      <w:proofErr w:type="gramStart"/>
      <w:r w:rsidR="00DA0EE9">
        <w:rPr>
          <w:bCs/>
          <w:sz w:val="24"/>
        </w:rPr>
        <w:t>非交易</w:t>
      </w:r>
      <w:proofErr w:type="gramEnd"/>
      <w:r w:rsidR="00DA0EE9">
        <w:rPr>
          <w:bCs/>
          <w:sz w:val="24"/>
        </w:rPr>
        <w:t>过户</w:t>
      </w:r>
      <w:r>
        <w:rPr>
          <w:bCs/>
          <w:sz w:val="24"/>
        </w:rPr>
        <w:t>等业务的规则</w:t>
      </w:r>
      <w:r>
        <w:rPr>
          <w:rFonts w:hint="eastAsia"/>
          <w:bCs/>
          <w:sz w:val="24"/>
        </w:rPr>
        <w:t>；</w:t>
      </w:r>
    </w:p>
    <w:p w14:paraId="482E337A" w14:textId="77777777" w:rsidR="00622ED3" w:rsidRDefault="00622ED3" w:rsidP="00622ED3">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）在不违反法律法规的情况下，调整基金的申购赎回方式和</w:t>
      </w:r>
      <w:r>
        <w:rPr>
          <w:rFonts w:hint="eastAsia"/>
          <w:bCs/>
          <w:sz w:val="24"/>
        </w:rPr>
        <w:t>/</w:t>
      </w:r>
      <w:r>
        <w:rPr>
          <w:rFonts w:hint="eastAsia"/>
          <w:bCs/>
          <w:sz w:val="24"/>
        </w:rPr>
        <w:t>或申购对价、赎回对价组成；</w:t>
      </w:r>
    </w:p>
    <w:p w14:paraId="2F79B719" w14:textId="77777777" w:rsidR="00622ED3" w:rsidRDefault="00622ED3" w:rsidP="00622ED3">
      <w:pPr>
        <w:spacing w:line="360" w:lineRule="auto"/>
        <w:ind w:firstLineChars="200" w:firstLine="480"/>
        <w:rPr>
          <w:bCs/>
          <w:sz w:val="24"/>
        </w:rPr>
      </w:pPr>
      <w:r>
        <w:rPr>
          <w:rFonts w:hint="eastAsia"/>
          <w:bCs/>
          <w:sz w:val="24"/>
        </w:rPr>
        <w:t>（</w:t>
      </w:r>
      <w:r>
        <w:rPr>
          <w:bCs/>
          <w:sz w:val="24"/>
        </w:rPr>
        <w:t>7</w:t>
      </w:r>
      <w:r>
        <w:rPr>
          <w:rFonts w:hint="eastAsia"/>
          <w:bCs/>
          <w:sz w:val="24"/>
        </w:rPr>
        <w:t>）对基金份额持有人利益无实质性不利影响的情况下，基金推出新业务或服务；</w:t>
      </w:r>
    </w:p>
    <w:p w14:paraId="6B720382" w14:textId="77777777" w:rsidR="00622ED3" w:rsidRDefault="00622ED3" w:rsidP="00622ED3">
      <w:pPr>
        <w:spacing w:line="360" w:lineRule="auto"/>
        <w:ind w:firstLineChars="200" w:firstLine="480"/>
        <w:rPr>
          <w:bCs/>
          <w:sz w:val="24"/>
        </w:rPr>
      </w:pPr>
      <w:r>
        <w:rPr>
          <w:rFonts w:hint="eastAsia"/>
          <w:bCs/>
          <w:sz w:val="24"/>
        </w:rPr>
        <w:t>（</w:t>
      </w:r>
      <w:r>
        <w:rPr>
          <w:rFonts w:hint="eastAsia"/>
          <w:bCs/>
          <w:sz w:val="24"/>
        </w:rPr>
        <w:t>8</w:t>
      </w:r>
      <w:r>
        <w:rPr>
          <w:rFonts w:hint="eastAsia"/>
          <w:bCs/>
          <w:sz w:val="24"/>
        </w:rPr>
        <w:t>）监管机关或证券交易所要求或决定本基金终止上市；</w:t>
      </w:r>
    </w:p>
    <w:p w14:paraId="0FFD92BB" w14:textId="77777777" w:rsidR="00622ED3" w:rsidRDefault="00622ED3" w:rsidP="00622ED3">
      <w:pPr>
        <w:spacing w:line="360" w:lineRule="auto"/>
        <w:ind w:firstLineChars="200" w:firstLine="480"/>
        <w:rPr>
          <w:bCs/>
          <w:sz w:val="24"/>
        </w:rPr>
      </w:pPr>
      <w:r>
        <w:rPr>
          <w:rFonts w:hint="eastAsia"/>
          <w:bCs/>
          <w:sz w:val="24"/>
        </w:rPr>
        <w:t>（</w:t>
      </w:r>
      <w:r>
        <w:rPr>
          <w:bCs/>
          <w:sz w:val="24"/>
        </w:rPr>
        <w:t>9</w:t>
      </w:r>
      <w:r>
        <w:rPr>
          <w:rFonts w:hint="eastAsia"/>
          <w:bCs/>
          <w:sz w:val="24"/>
        </w:rPr>
        <w:t>）</w:t>
      </w:r>
      <w:r>
        <w:rPr>
          <w:bCs/>
          <w:sz w:val="24"/>
        </w:rPr>
        <w:t>按照法律法规和基金合同规定不需召开基金份额持有人大会的其他情形。</w:t>
      </w:r>
    </w:p>
    <w:p w14:paraId="6244848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（二）会议召集人及召集方式</w:t>
      </w:r>
    </w:p>
    <w:p w14:paraId="799CB87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1、本</w:t>
      </w:r>
      <w:proofErr w:type="gramStart"/>
      <w:r>
        <w:rPr>
          <w:rFonts w:ascii="宋体" w:hAnsi="宋体" w:cs="Arial"/>
          <w:bCs/>
          <w:sz w:val="24"/>
        </w:rPr>
        <w:t>基金基金</w:t>
      </w:r>
      <w:proofErr w:type="gramEnd"/>
      <w:r>
        <w:rPr>
          <w:rFonts w:ascii="宋体" w:hAnsi="宋体" w:cs="Arial"/>
          <w:bCs/>
          <w:sz w:val="24"/>
        </w:rPr>
        <w:t>份额持有人大会不设日常机构。除法律法规规定或《基金合同》另有约定外，基金份额持有人大会由基金管理人召集。</w:t>
      </w:r>
    </w:p>
    <w:p w14:paraId="0C5E428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2、基金管理人未按规定召集或不能召开时，由基金托管人召集。</w:t>
      </w:r>
    </w:p>
    <w:p w14:paraId="172B8BB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7C9BAE5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4、代表基金份额10%以上（含10%，以基金管理人收到提议当日的基金份</w:t>
      </w:r>
      <w:r>
        <w:rPr>
          <w:rFonts w:ascii="宋体" w:hAnsi="宋体" w:cs="Arial"/>
          <w:bCs/>
          <w:sz w:val="24"/>
        </w:rPr>
        <w:lastRenderedPageBreak/>
        <w:t>额计算，下同）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7B7B342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408D07E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6、基金份额持有人大会的召集人负责选择确定开会时间、地点、方式和权益登记日。</w:t>
      </w:r>
    </w:p>
    <w:p w14:paraId="7D74D7E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（三）召开基金份额持有人大会的通知时间、通知内容、通知方式</w:t>
      </w:r>
    </w:p>
    <w:p w14:paraId="068B682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1、召开基金份额持有人大会，召集人应于会议召开前至少30日，按照《信息披露办法》的规定在规定媒介发布召开基金份额持有人大会的通知。基金份额持有人大会通知应至少载明以下内容：</w:t>
      </w:r>
    </w:p>
    <w:p w14:paraId="2D2657E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（1）会议召开的时间、地点和会议形式；</w:t>
      </w:r>
    </w:p>
    <w:p w14:paraId="3306652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（2）会议</w:t>
      </w:r>
      <w:proofErr w:type="gramStart"/>
      <w:r>
        <w:rPr>
          <w:rFonts w:ascii="宋体" w:hAnsi="宋体" w:cs="Arial"/>
          <w:bCs/>
          <w:sz w:val="24"/>
        </w:rPr>
        <w:t>拟审议</w:t>
      </w:r>
      <w:proofErr w:type="gramEnd"/>
      <w:r>
        <w:rPr>
          <w:rFonts w:ascii="宋体" w:hAnsi="宋体" w:cs="Arial"/>
          <w:bCs/>
          <w:sz w:val="24"/>
        </w:rPr>
        <w:t>的事项、议事程序和表决方式；</w:t>
      </w:r>
    </w:p>
    <w:p w14:paraId="176339C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（3）有权出席基金份额持有人大会的基金份额持有人的权益登记日；</w:t>
      </w:r>
    </w:p>
    <w:p w14:paraId="54AD1C8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（4）授权委托证明的内容要求（包括但不限于代理人身份，代理权限和代理有效期限等）、送达时间和地点；</w:t>
      </w:r>
    </w:p>
    <w:p w14:paraId="102C439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（5）会务常设联系人姓名及联系电话；</w:t>
      </w:r>
    </w:p>
    <w:p w14:paraId="0D296B1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（6）出席会议者必须准备的文件和必须履行的手续；</w:t>
      </w:r>
    </w:p>
    <w:p w14:paraId="08FF3C6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（7）召集人需要通知的其他事项。</w:t>
      </w:r>
    </w:p>
    <w:p w14:paraId="42BC575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2、采取通讯开会方式并进行表决的情况下，由会议召集人决定在会议通知</w:t>
      </w:r>
      <w:r>
        <w:rPr>
          <w:rFonts w:ascii="宋体" w:hAnsi="宋体" w:cs="Arial"/>
          <w:bCs/>
          <w:sz w:val="24"/>
        </w:rPr>
        <w:lastRenderedPageBreak/>
        <w:t>中说明本次基金份额持有人大会所采取的具体通讯方式、委托的公证机关及其联系方式和联系人、书面表决意见送达的截止时间和收取方式。</w:t>
      </w:r>
    </w:p>
    <w:p w14:paraId="4E6E7E7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cs="Arial"/>
          <w:bCs/>
          <w:sz w:val="24"/>
        </w:rPr>
        <w:t>拒不派</w:t>
      </w:r>
      <w:proofErr w:type="gramEnd"/>
      <w:r>
        <w:rPr>
          <w:rFonts w:ascii="宋体" w:hAnsi="宋体" w:cs="Arial"/>
          <w:bCs/>
          <w:sz w:val="24"/>
        </w:rPr>
        <w:t>代表对书面表决意见的计票进行监督的，不影响表决意见的计票效力。</w:t>
      </w:r>
    </w:p>
    <w:p w14:paraId="7FF766D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（四）基金份额持有人出席会议的方式</w:t>
      </w:r>
    </w:p>
    <w:p w14:paraId="513203E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基金份额持有人大会可通过现场开会方式、通讯开会方式或法律法规、监管机构允许或基金合同约定的其他方式召开，会议的召开方式由会议召集人确定。</w:t>
      </w:r>
    </w:p>
    <w:p w14:paraId="06CB8F4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A43732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8A55E0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1B1541F5" w14:textId="17DE7D5D" w:rsidR="00C52815" w:rsidRDefault="005C44F4">
      <w:pPr>
        <w:spacing w:line="360" w:lineRule="auto"/>
        <w:ind w:firstLineChars="200" w:firstLine="480"/>
        <w:rPr>
          <w:rFonts w:ascii="宋体" w:hAnsi="宋体" w:cs="Arial"/>
          <w:bCs/>
          <w:sz w:val="24"/>
        </w:rPr>
      </w:pPr>
      <w:r>
        <w:rPr>
          <w:rFonts w:ascii="宋体" w:hAnsi="宋体" w:cs="Arial"/>
          <w:bCs/>
          <w:sz w:val="24"/>
        </w:rPr>
        <w:t>2、</w:t>
      </w:r>
      <w:r w:rsidR="00041270" w:rsidRPr="00041270">
        <w:rPr>
          <w:rFonts w:ascii="宋体" w:hAnsi="宋体" w:cs="Arial" w:hint="eastAsia"/>
          <w:bCs/>
          <w:sz w:val="24"/>
        </w:rPr>
        <w:t>通讯开会。通讯开会系指基金份额持有人将其对审议事项的表决意见以书面形式</w:t>
      </w:r>
      <w:proofErr w:type="gramStart"/>
      <w:r w:rsidR="00041270" w:rsidRPr="00041270">
        <w:rPr>
          <w:rFonts w:ascii="宋体" w:hAnsi="宋体" w:cs="Arial" w:hint="eastAsia"/>
          <w:bCs/>
          <w:sz w:val="24"/>
        </w:rPr>
        <w:t>或大会</w:t>
      </w:r>
      <w:proofErr w:type="gramEnd"/>
      <w:r w:rsidR="00041270" w:rsidRPr="00041270">
        <w:rPr>
          <w:rFonts w:ascii="宋体" w:hAnsi="宋体" w:cs="Arial" w:hint="eastAsia"/>
          <w:bCs/>
          <w:sz w:val="24"/>
        </w:rPr>
        <w:t>公告载明的其他方式在收取表决意见截止时间以前送达至召集</w:t>
      </w:r>
      <w:r w:rsidR="00041270" w:rsidRPr="00041270">
        <w:rPr>
          <w:rFonts w:ascii="宋体" w:hAnsi="宋体" w:cs="Arial" w:hint="eastAsia"/>
          <w:bCs/>
          <w:sz w:val="24"/>
        </w:rPr>
        <w:lastRenderedPageBreak/>
        <w:t>人指定的地址。通讯开会应以书面方式</w:t>
      </w:r>
      <w:proofErr w:type="gramStart"/>
      <w:r w:rsidR="00041270" w:rsidRPr="00041270">
        <w:rPr>
          <w:rFonts w:ascii="宋体" w:hAnsi="宋体" w:cs="Arial" w:hint="eastAsia"/>
          <w:bCs/>
          <w:sz w:val="24"/>
        </w:rPr>
        <w:t>或大会</w:t>
      </w:r>
      <w:proofErr w:type="gramEnd"/>
      <w:r w:rsidR="00041270" w:rsidRPr="00041270">
        <w:rPr>
          <w:rFonts w:ascii="宋体" w:hAnsi="宋体" w:cs="Arial" w:hint="eastAsia"/>
          <w:bCs/>
          <w:sz w:val="24"/>
        </w:rPr>
        <w:t>公告载明的其他方式进行表决</w:t>
      </w:r>
      <w:r>
        <w:rPr>
          <w:rFonts w:ascii="宋体" w:hAnsi="宋体" w:cs="Arial"/>
          <w:bCs/>
          <w:sz w:val="24"/>
        </w:rPr>
        <w:t>。</w:t>
      </w:r>
    </w:p>
    <w:p w14:paraId="199020C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在同时符合以下条件时，通讯开会的方式视为有效：</w:t>
      </w:r>
    </w:p>
    <w:p w14:paraId="49475FA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（1）会议召集人按《基金合同》约定公布会议通知后，在2个工作日内连续公布相关提示性公告；</w:t>
      </w:r>
    </w:p>
    <w:p w14:paraId="522D0A7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统计基金份额持有人的书面表决意见；基金托管人或基金管理人经通知不参加统计书面表决意见的，不影响表决效力；</w:t>
      </w:r>
    </w:p>
    <w:p w14:paraId="24F85D8A" w14:textId="77777777" w:rsidR="00C52815" w:rsidRDefault="005C44F4">
      <w:pPr>
        <w:spacing w:line="360" w:lineRule="auto"/>
        <w:ind w:firstLineChars="225" w:firstLine="540"/>
        <w:rPr>
          <w:rFonts w:ascii="宋体" w:hAnsi="宋体" w:cs="Arial"/>
          <w:bCs/>
          <w:sz w:val="24"/>
        </w:rPr>
      </w:pPr>
      <w:r>
        <w:rPr>
          <w:rFonts w:ascii="宋体" w:hAnsi="宋体" w:cs="Arial"/>
          <w:bCs/>
          <w:sz w:val="24"/>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672941D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结算机构记录相符。</w:t>
      </w:r>
    </w:p>
    <w:p w14:paraId="34CF8C41" w14:textId="11990C63" w:rsidR="00C52815" w:rsidRDefault="005C44F4">
      <w:pPr>
        <w:spacing w:line="360" w:lineRule="auto"/>
        <w:ind w:firstLineChars="200" w:firstLine="480"/>
        <w:rPr>
          <w:rFonts w:ascii="宋体" w:hAnsi="宋体" w:cs="Arial"/>
          <w:bCs/>
          <w:sz w:val="24"/>
        </w:rPr>
      </w:pPr>
      <w:r>
        <w:rPr>
          <w:rFonts w:ascii="宋体" w:hAnsi="宋体" w:cs="Arial"/>
          <w:bCs/>
          <w:sz w:val="24"/>
        </w:rPr>
        <w:t>3、在不与法律法规冲突的前提下，基金份额持有人大会可通过</w:t>
      </w:r>
      <w:r w:rsidR="00041270" w:rsidRPr="00041270">
        <w:rPr>
          <w:rFonts w:ascii="宋体" w:hAnsi="宋体" w:cs="Arial" w:hint="eastAsia"/>
          <w:bCs/>
          <w:sz w:val="24"/>
        </w:rPr>
        <w:t>网络、电话、短信</w:t>
      </w:r>
      <w:r>
        <w:rPr>
          <w:rFonts w:ascii="宋体" w:hAnsi="宋体" w:cs="Arial"/>
          <w:bCs/>
          <w:sz w:val="24"/>
        </w:rPr>
        <w:t>或其他方式召开，基金份额持有人可以采用书面、网络、电话、短信或其他方式进行表决，具体方式由会议召集人确定并在会议通知中列明。</w:t>
      </w:r>
    </w:p>
    <w:p w14:paraId="1944677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4、基金份额持有人授权他人代为出席会议并表决的，授权方式可以采用书面、网络、电话、短信或其他方式，具体方式在会议通知中列明。</w:t>
      </w:r>
    </w:p>
    <w:p w14:paraId="70420F8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（五）议事内容与程序</w:t>
      </w:r>
    </w:p>
    <w:p w14:paraId="3159A87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1、议事内容及提案权</w:t>
      </w:r>
    </w:p>
    <w:p w14:paraId="579FFC7F"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议事内容为本部分“（一）召开事由”中所述应由基金份额持有人大会审议决定的事项。</w:t>
      </w:r>
    </w:p>
    <w:p w14:paraId="2FA6813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基金份额持有人大会的召集人发出召集会议的通知后，对原有提案的修改应当在基金份额持有人大会召开前及时公告。</w:t>
      </w:r>
    </w:p>
    <w:p w14:paraId="21B8A04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基金份额持有人大会不得对未事先公告的议事内容进行表决。</w:t>
      </w:r>
    </w:p>
    <w:p w14:paraId="42E8C61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2、议事程序</w:t>
      </w:r>
    </w:p>
    <w:p w14:paraId="7703359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（1）现场开会</w:t>
      </w:r>
    </w:p>
    <w:p w14:paraId="512BE3A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现场开会的方式下，首先由大会主持人按照下列第（七）条规定程序确定和公布计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cs="Arial"/>
          <w:bCs/>
          <w:sz w:val="24"/>
        </w:rPr>
        <w:t>作出</w:t>
      </w:r>
      <w:proofErr w:type="gramEnd"/>
      <w:r>
        <w:rPr>
          <w:rFonts w:ascii="宋体" w:hAnsi="宋体" w:cs="Arial"/>
          <w:bCs/>
          <w:sz w:val="24"/>
        </w:rPr>
        <w:t>的决议的效力。</w:t>
      </w:r>
    </w:p>
    <w:p w14:paraId="1BC8886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会议召集人应当制作出席会议人员的签名册。签名</w:t>
      </w:r>
      <w:proofErr w:type="gramStart"/>
      <w:r>
        <w:rPr>
          <w:rFonts w:ascii="宋体" w:hAnsi="宋体" w:cs="Arial"/>
          <w:bCs/>
          <w:sz w:val="24"/>
        </w:rPr>
        <w:t>册</w:t>
      </w:r>
      <w:proofErr w:type="gramEnd"/>
      <w:r>
        <w:rPr>
          <w:rFonts w:ascii="宋体" w:hAnsi="宋体" w:cs="Arial"/>
          <w:bCs/>
          <w:sz w:val="24"/>
        </w:rPr>
        <w:t>载明参加会议人员姓名（或单位名称）、身份证明文件号码、持有或代表有表决权的基金份额、委托人姓名（或单位名称）和联系方式等事项。</w:t>
      </w:r>
    </w:p>
    <w:p w14:paraId="7725CD5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（2）通讯开会</w:t>
      </w:r>
    </w:p>
    <w:p w14:paraId="0043F22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通讯开会的情况下，首先由召集人在收取会议审议事项书面表决意见截止日期前至少提前30日公布提案，在所通知的收取表决意见截止日期后2个工作日内在公证机关监督下由召集人统计全部有效表决，在公证机关监督下形成决议。</w:t>
      </w:r>
    </w:p>
    <w:p w14:paraId="49AD90C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（六）表决</w:t>
      </w:r>
    </w:p>
    <w:p w14:paraId="22979DC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基金份额持有人所持每份基金份额有一票表决权。</w:t>
      </w:r>
    </w:p>
    <w:p w14:paraId="2D8D873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基金份额持有人大会决议分为一般决议和特别决议：</w:t>
      </w:r>
    </w:p>
    <w:p w14:paraId="2989C06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1、一般决议，一般决议须经参加大会的基金份额持有人或其代理人所持表决权的二分之一以上（含二分之一）通过方为有效；除下列第2项所规定的须</w:t>
      </w:r>
      <w:r>
        <w:rPr>
          <w:rFonts w:ascii="宋体" w:hAnsi="宋体" w:cs="Arial"/>
          <w:bCs/>
          <w:sz w:val="24"/>
        </w:rPr>
        <w:lastRenderedPageBreak/>
        <w:t>以特别决议通过事项以外的其他事项均以一般决议的方式通过。</w:t>
      </w:r>
    </w:p>
    <w:p w14:paraId="24A6B3F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2A53CDD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基金份额持有人大会采取记名方式进行投票表决。</w:t>
      </w:r>
    </w:p>
    <w:p w14:paraId="6C0BD41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采取通讯方式进行表决时，除非在计票时有充分的相反证据证明，否则提交符合会议通知中规定的确认投资者身份文件的投资者视为有效出席的投资者，表面符合会议通知规定的书面表决意见视为有效表决，表决意见模糊不清或相互矛盾的视为弃权表决，但应当计入出具书面意见的基金份额持有人所代表的基金份额总数。</w:t>
      </w:r>
    </w:p>
    <w:p w14:paraId="1CD5732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基金份额持有人大会的各项提案或同一项提案内并列的各项议题应当分开审议、逐项表决。</w:t>
      </w:r>
    </w:p>
    <w:p w14:paraId="43AF09D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（七）计票</w:t>
      </w:r>
    </w:p>
    <w:p w14:paraId="2D18535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1、现场开会</w:t>
      </w:r>
    </w:p>
    <w:p w14:paraId="194133B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（1）如大会由基金管理人或基金托管人召集，基金份额持有人大会的主持人应当在会议开始后宣布在出席会议的基金份额持有人和代理人中选举两名基金份额持有人代表与大会召集人授权的</w:t>
      </w:r>
      <w:proofErr w:type="gramStart"/>
      <w:r>
        <w:rPr>
          <w:rFonts w:ascii="宋体" w:hAnsi="宋体" w:cs="Arial"/>
          <w:bCs/>
          <w:sz w:val="24"/>
        </w:rPr>
        <w:t>一</w:t>
      </w:r>
      <w:proofErr w:type="gramEnd"/>
      <w:r>
        <w:rPr>
          <w:rFonts w:ascii="宋体" w:hAnsi="宋体" w:cs="Arial"/>
          <w:bCs/>
          <w:sz w:val="24"/>
        </w:rPr>
        <w:t>名人士共同担任计票人；如大会由基金份额持有人自行召集</w:t>
      </w:r>
      <w:proofErr w:type="gramStart"/>
      <w:r>
        <w:rPr>
          <w:rFonts w:ascii="宋体" w:hAnsi="宋体" w:cs="Arial"/>
          <w:bCs/>
          <w:sz w:val="24"/>
        </w:rPr>
        <w:t>或大会</w:t>
      </w:r>
      <w:proofErr w:type="gramEnd"/>
      <w:r>
        <w:rPr>
          <w:rFonts w:ascii="宋体" w:hAnsi="宋体" w:cs="Arial"/>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计票人。基金管理人或基金托管人不出席大会的，不影响计票的效力。</w:t>
      </w:r>
    </w:p>
    <w:p w14:paraId="75693BB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（2）计票人应当在基金份额持有人表决后立即进行清点并由大会主持人当场公布计票结果。</w:t>
      </w:r>
    </w:p>
    <w:p w14:paraId="61256FB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（3）如果会议主持人或基金份额持有人或代理人对于提交的表决结果有异议，可以在宣布表决结果后立即对所投票</w:t>
      </w:r>
      <w:proofErr w:type="gramStart"/>
      <w:r>
        <w:rPr>
          <w:rFonts w:ascii="宋体" w:hAnsi="宋体" w:cs="Arial"/>
          <w:bCs/>
          <w:sz w:val="24"/>
        </w:rPr>
        <w:t>数要求</w:t>
      </w:r>
      <w:proofErr w:type="gramEnd"/>
      <w:r>
        <w:rPr>
          <w:rFonts w:ascii="宋体" w:hAnsi="宋体" w:cs="Arial"/>
          <w:bCs/>
          <w:sz w:val="24"/>
        </w:rPr>
        <w:t>进行重新清点。计票人应当进行重新清点，重新清点以一次为限。重新清点后，大会主持人应当当场公布重新清点结果。</w:t>
      </w:r>
    </w:p>
    <w:p w14:paraId="743C9AC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（4）计票过程应由公证机关予以公证，基金管理人或基金托管人拒不出席</w:t>
      </w:r>
      <w:r>
        <w:rPr>
          <w:rFonts w:ascii="宋体" w:hAnsi="宋体" w:cs="Arial"/>
          <w:bCs/>
          <w:sz w:val="24"/>
        </w:rPr>
        <w:lastRenderedPageBreak/>
        <w:t>大会的，不影响计票的效力。</w:t>
      </w:r>
    </w:p>
    <w:p w14:paraId="540A741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2、通讯开会</w:t>
      </w:r>
    </w:p>
    <w:p w14:paraId="3014B8B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通讯开会的情况下，计票方式为：由大会召集人授权的两名人士在基金托管人授权代表（若由基金托管人召集，则为基金管理人授权代表）的监督下进行计票，并由公证机关对其计票过程予以公证。基金管理人或基金托管</w:t>
      </w:r>
      <w:proofErr w:type="gramStart"/>
      <w:r>
        <w:rPr>
          <w:rFonts w:ascii="宋体" w:hAnsi="宋体" w:cs="Arial"/>
          <w:bCs/>
          <w:sz w:val="24"/>
        </w:rPr>
        <w:t>人拒派</w:t>
      </w:r>
      <w:proofErr w:type="gramEnd"/>
      <w:r>
        <w:rPr>
          <w:rFonts w:ascii="宋体" w:hAnsi="宋体" w:cs="Arial"/>
          <w:bCs/>
          <w:sz w:val="24"/>
        </w:rPr>
        <w:t>代表对书面表决意见的计票进行监督的，不影响计票和表决结果。</w:t>
      </w:r>
    </w:p>
    <w:p w14:paraId="25FF82A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（八）生效与公告</w:t>
      </w:r>
    </w:p>
    <w:p w14:paraId="5643F44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基金份额持有人大会的决议，召集人应当自通过之日起5日内报中国证监会备案。</w:t>
      </w:r>
    </w:p>
    <w:p w14:paraId="07FFC0D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基金份额持有人大会的决议自表决通过之日起生效。该表决通过之日为基金份额持有人大会计票完成且计票结果符合法律法规和基金合同规定的决议通过条件之日。</w:t>
      </w:r>
    </w:p>
    <w:p w14:paraId="799662B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基金份额持有人大会决议生效后应依照《信息披露办法》的有关规定在规定媒介上公告。</w:t>
      </w:r>
    </w:p>
    <w:p w14:paraId="195588B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基金管理人、基金托管人和基金份额持有人应当执行生效的基金份额持有人大会的决议。生效的基金份额持有人大会决议对全体基金份额持有人、基金管理人、基金托管人均有约束力。</w:t>
      </w:r>
    </w:p>
    <w:p w14:paraId="016B32CC" w14:textId="04B33FA1" w:rsidR="00C52815" w:rsidRDefault="005C44F4">
      <w:pPr>
        <w:spacing w:line="360" w:lineRule="auto"/>
        <w:ind w:firstLineChars="200" w:firstLine="480"/>
        <w:rPr>
          <w:rFonts w:ascii="宋体" w:hAnsi="宋体" w:cs="Arial"/>
          <w:bCs/>
          <w:sz w:val="24"/>
        </w:rPr>
      </w:pPr>
      <w:r>
        <w:rPr>
          <w:rFonts w:ascii="宋体" w:hAnsi="宋体" w:cs="Arial"/>
          <w:bCs/>
          <w:sz w:val="24"/>
        </w:rPr>
        <w:t>（九）</w:t>
      </w:r>
      <w:r w:rsidR="00041270" w:rsidRPr="00041270">
        <w:rPr>
          <w:rFonts w:ascii="宋体" w:hAnsi="宋体" w:cs="Arial" w:hint="eastAsia"/>
          <w:bCs/>
          <w:sz w:val="24"/>
        </w:rPr>
        <w:t>本部</w:t>
      </w:r>
      <w:proofErr w:type="gramStart"/>
      <w:r w:rsidR="00041270" w:rsidRPr="00041270">
        <w:rPr>
          <w:rFonts w:ascii="宋体" w:hAnsi="宋体" w:cs="Arial" w:hint="eastAsia"/>
          <w:bCs/>
          <w:sz w:val="24"/>
        </w:rPr>
        <w:t>分关于</w:t>
      </w:r>
      <w:proofErr w:type="gramEnd"/>
      <w:r w:rsidR="00041270" w:rsidRPr="00041270">
        <w:rPr>
          <w:rFonts w:ascii="宋体" w:hAnsi="宋体" w:cs="Arial"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履行适当程序并提前公告后，可直接对本部分内容进行修改和调整，无需召开基金份额持有人大会审议</w:t>
      </w:r>
      <w:r>
        <w:rPr>
          <w:rFonts w:ascii="宋体" w:hAnsi="宋体" w:cs="Arial"/>
          <w:bCs/>
          <w:sz w:val="24"/>
        </w:rPr>
        <w:t>。</w:t>
      </w:r>
    </w:p>
    <w:p w14:paraId="08886CD1" w14:textId="77777777" w:rsidR="00C52815" w:rsidRDefault="00C52815">
      <w:pPr>
        <w:autoSpaceDE w:val="0"/>
        <w:autoSpaceDN w:val="0"/>
        <w:adjustRightInd w:val="0"/>
        <w:spacing w:line="360" w:lineRule="auto"/>
        <w:ind w:firstLine="482"/>
        <w:jc w:val="left"/>
        <w:rPr>
          <w:rFonts w:ascii="宋体" w:hAnsi="宋体" w:cs="Arial"/>
          <w:sz w:val="24"/>
        </w:rPr>
      </w:pPr>
    </w:p>
    <w:p w14:paraId="74C343F3" w14:textId="77777777" w:rsidR="00C52815" w:rsidRDefault="005C44F4">
      <w:pPr>
        <w:ind w:firstLineChars="196" w:firstLine="472"/>
        <w:rPr>
          <w:rFonts w:ascii="宋体" w:hAnsi="宋体" w:cs="Arial"/>
          <w:b/>
          <w:bCs/>
          <w:sz w:val="24"/>
          <w:szCs w:val="24"/>
        </w:rPr>
      </w:pPr>
      <w:r>
        <w:rPr>
          <w:rFonts w:ascii="宋体" w:hAnsi="宋体" w:cs="Arial"/>
          <w:b/>
          <w:bCs/>
          <w:sz w:val="24"/>
          <w:szCs w:val="24"/>
        </w:rPr>
        <w:t>三、基金收益分配原则、执行方式</w:t>
      </w:r>
    </w:p>
    <w:p w14:paraId="0212A533" w14:textId="77777777" w:rsidR="00C52815" w:rsidRDefault="005C44F4">
      <w:pPr>
        <w:spacing w:line="360" w:lineRule="auto"/>
        <w:ind w:firstLineChars="225" w:firstLine="540"/>
        <w:rPr>
          <w:rFonts w:ascii="宋体" w:hAnsi="宋体" w:cs="Arial"/>
          <w:bCs/>
          <w:sz w:val="24"/>
        </w:rPr>
      </w:pPr>
      <w:r>
        <w:rPr>
          <w:rFonts w:ascii="宋体" w:hAnsi="宋体" w:cs="Arial"/>
          <w:bCs/>
          <w:sz w:val="24"/>
        </w:rPr>
        <w:t>（一）基金收益分配原则</w:t>
      </w:r>
    </w:p>
    <w:p w14:paraId="404708FB" w14:textId="77777777" w:rsidR="00041270" w:rsidRPr="00041270" w:rsidRDefault="00041270" w:rsidP="00041270">
      <w:pPr>
        <w:spacing w:line="360" w:lineRule="auto"/>
        <w:ind w:firstLineChars="225" w:firstLine="540"/>
        <w:rPr>
          <w:rFonts w:ascii="宋体" w:hAnsi="宋体" w:cs="Arial"/>
          <w:bCs/>
          <w:sz w:val="24"/>
        </w:rPr>
      </w:pPr>
      <w:r w:rsidRPr="00041270">
        <w:rPr>
          <w:rFonts w:ascii="宋体" w:hAnsi="宋体" w:cs="Arial" w:hint="eastAsia"/>
          <w:bCs/>
          <w:sz w:val="24"/>
        </w:rPr>
        <w:t>1、每份基金份额享有同等分配权；</w:t>
      </w:r>
    </w:p>
    <w:p w14:paraId="0030555C" w14:textId="77777777" w:rsidR="00041270" w:rsidRPr="00041270" w:rsidRDefault="00041270" w:rsidP="00041270">
      <w:pPr>
        <w:spacing w:line="360" w:lineRule="auto"/>
        <w:ind w:firstLineChars="225" w:firstLine="540"/>
        <w:rPr>
          <w:rFonts w:ascii="宋体" w:hAnsi="宋体" w:cs="Arial"/>
          <w:bCs/>
          <w:sz w:val="24"/>
        </w:rPr>
      </w:pPr>
      <w:r w:rsidRPr="00041270">
        <w:rPr>
          <w:rFonts w:ascii="宋体" w:hAnsi="宋体" w:cs="Arial" w:hint="eastAsia"/>
          <w:bCs/>
          <w:sz w:val="24"/>
        </w:rPr>
        <w:t>2、</w:t>
      </w:r>
      <w:proofErr w:type="gramStart"/>
      <w:r w:rsidRPr="00041270">
        <w:rPr>
          <w:rFonts w:ascii="宋体" w:hAnsi="宋体" w:cs="Arial" w:hint="eastAsia"/>
          <w:bCs/>
          <w:sz w:val="24"/>
        </w:rPr>
        <w:t>若基金</w:t>
      </w:r>
      <w:proofErr w:type="gramEnd"/>
      <w:r w:rsidRPr="00041270">
        <w:rPr>
          <w:rFonts w:ascii="宋体" w:hAnsi="宋体" w:cs="Arial" w:hint="eastAsia"/>
          <w:bCs/>
          <w:sz w:val="24"/>
        </w:rPr>
        <w:t xml:space="preserve">合同生效不满 3 </w:t>
      </w:r>
      <w:proofErr w:type="gramStart"/>
      <w:r w:rsidRPr="00041270">
        <w:rPr>
          <w:rFonts w:ascii="宋体" w:hAnsi="宋体" w:cs="Arial" w:hint="eastAsia"/>
          <w:bCs/>
          <w:sz w:val="24"/>
        </w:rPr>
        <w:t>个</w:t>
      </w:r>
      <w:proofErr w:type="gramEnd"/>
      <w:r w:rsidRPr="00041270">
        <w:rPr>
          <w:rFonts w:ascii="宋体" w:hAnsi="宋体" w:cs="Arial" w:hint="eastAsia"/>
          <w:bCs/>
          <w:sz w:val="24"/>
        </w:rPr>
        <w:t>月可不进行收益分配；</w:t>
      </w:r>
    </w:p>
    <w:p w14:paraId="59476B89" w14:textId="77777777" w:rsidR="00041270" w:rsidRPr="00041270" w:rsidRDefault="00041270" w:rsidP="00041270">
      <w:pPr>
        <w:spacing w:line="360" w:lineRule="auto"/>
        <w:ind w:firstLineChars="225" w:firstLine="540"/>
        <w:rPr>
          <w:rFonts w:ascii="宋体" w:hAnsi="宋体" w:cs="Arial"/>
          <w:bCs/>
          <w:sz w:val="24"/>
        </w:rPr>
      </w:pPr>
      <w:r w:rsidRPr="00041270">
        <w:rPr>
          <w:rFonts w:ascii="宋体" w:hAnsi="宋体" w:cs="Arial" w:hint="eastAsia"/>
          <w:bCs/>
          <w:sz w:val="24"/>
        </w:rPr>
        <w:t>3、本基金收益分配采取现金方式；</w:t>
      </w:r>
    </w:p>
    <w:p w14:paraId="23F53AB1" w14:textId="77777777" w:rsidR="00041270" w:rsidRPr="00041270" w:rsidRDefault="00041270" w:rsidP="00041270">
      <w:pPr>
        <w:spacing w:line="360" w:lineRule="auto"/>
        <w:ind w:firstLineChars="225" w:firstLine="540"/>
        <w:rPr>
          <w:rFonts w:ascii="宋体" w:hAnsi="宋体" w:cs="Arial"/>
          <w:bCs/>
          <w:sz w:val="24"/>
        </w:rPr>
      </w:pPr>
      <w:r w:rsidRPr="00041270">
        <w:rPr>
          <w:rFonts w:ascii="宋体" w:hAnsi="宋体" w:cs="Arial" w:hint="eastAsia"/>
          <w:bCs/>
          <w:sz w:val="24"/>
        </w:rPr>
        <w:t>4、基金收益</w:t>
      </w:r>
      <w:proofErr w:type="gramStart"/>
      <w:r w:rsidRPr="00041270">
        <w:rPr>
          <w:rFonts w:ascii="宋体" w:hAnsi="宋体" w:cs="Arial" w:hint="eastAsia"/>
          <w:bCs/>
          <w:sz w:val="24"/>
        </w:rPr>
        <w:t>评价日核定</w:t>
      </w:r>
      <w:proofErr w:type="gramEnd"/>
      <w:r w:rsidRPr="00041270">
        <w:rPr>
          <w:rFonts w:ascii="宋体" w:hAnsi="宋体" w:cs="Arial" w:hint="eastAsia"/>
          <w:bCs/>
          <w:sz w:val="24"/>
        </w:rPr>
        <w:t>的基金累计报酬率超过标的指数同期累计报酬率时，基金管理人可以进行收益分配；在符合有关基金分红条件的前提下，基金</w:t>
      </w:r>
      <w:r w:rsidRPr="00041270">
        <w:rPr>
          <w:rFonts w:ascii="宋体" w:hAnsi="宋体" w:cs="Arial" w:hint="eastAsia"/>
          <w:bCs/>
          <w:sz w:val="24"/>
        </w:rPr>
        <w:lastRenderedPageBreak/>
        <w:t>管理人可以根据实际情况进行收益分配，具体分配方案以届时的公告为准；</w:t>
      </w:r>
    </w:p>
    <w:p w14:paraId="11D96AF3" w14:textId="77777777" w:rsidR="00041270" w:rsidRPr="00041270" w:rsidRDefault="00041270" w:rsidP="00041270">
      <w:pPr>
        <w:spacing w:line="360" w:lineRule="auto"/>
        <w:ind w:firstLineChars="225" w:firstLine="540"/>
        <w:rPr>
          <w:rFonts w:ascii="宋体" w:hAnsi="宋体" w:cs="Arial"/>
          <w:bCs/>
          <w:sz w:val="24"/>
        </w:rPr>
      </w:pPr>
      <w:r w:rsidRPr="00041270">
        <w:rPr>
          <w:rFonts w:ascii="宋体" w:hAnsi="宋体" w:cs="Arial" w:hint="eastAsia"/>
          <w:bCs/>
          <w:sz w:val="24"/>
        </w:rPr>
        <w:t>5、基于本基金的性质和特点，本基金收益分配不须以弥补亏损为前提，收益分配后有可能使基金份额净值低于面值，即基金收益分配基准日（即收益评价日）的基金份额净值减去每单位基金份额收益分配金额后可能低于面值；</w:t>
      </w:r>
    </w:p>
    <w:p w14:paraId="3636D871" w14:textId="5CE8AD2A" w:rsidR="00881091" w:rsidRDefault="00041270" w:rsidP="00041270">
      <w:pPr>
        <w:spacing w:line="360" w:lineRule="auto"/>
        <w:ind w:firstLineChars="225" w:firstLine="540"/>
        <w:rPr>
          <w:rFonts w:ascii="宋体" w:hAnsi="宋体" w:cs="Arial"/>
          <w:bCs/>
          <w:sz w:val="24"/>
        </w:rPr>
      </w:pPr>
      <w:r w:rsidRPr="00041270">
        <w:rPr>
          <w:rFonts w:ascii="宋体" w:hAnsi="宋体" w:cs="Arial" w:hint="eastAsia"/>
          <w:bCs/>
          <w:sz w:val="24"/>
        </w:rPr>
        <w:t>6、法律法规或监管机关另有规定的，从其规定</w:t>
      </w:r>
      <w:r w:rsidR="00881091" w:rsidRPr="00881091">
        <w:rPr>
          <w:rFonts w:ascii="宋体" w:hAnsi="宋体" w:cs="Arial" w:hint="eastAsia"/>
          <w:bCs/>
          <w:sz w:val="24"/>
        </w:rPr>
        <w:t>。</w:t>
      </w:r>
    </w:p>
    <w:p w14:paraId="2DD41740" w14:textId="7BFA8F18" w:rsidR="00C52815" w:rsidRDefault="005C44F4">
      <w:pPr>
        <w:spacing w:line="360" w:lineRule="auto"/>
        <w:ind w:firstLineChars="225" w:firstLine="540"/>
        <w:rPr>
          <w:rFonts w:ascii="宋体" w:hAnsi="宋体" w:cs="Arial"/>
          <w:bCs/>
          <w:sz w:val="24"/>
        </w:rPr>
      </w:pPr>
      <w:r>
        <w:rPr>
          <w:rFonts w:ascii="宋体" w:hAnsi="宋体" w:cs="Arial"/>
          <w:bCs/>
          <w:sz w:val="24"/>
        </w:rPr>
        <w:t>（</w:t>
      </w:r>
      <w:r w:rsidR="00CF5AA3">
        <w:rPr>
          <w:rFonts w:ascii="宋体" w:hAnsi="宋体" w:cs="Arial" w:hint="eastAsia"/>
          <w:bCs/>
          <w:sz w:val="24"/>
        </w:rPr>
        <w:t>二</w:t>
      </w:r>
      <w:r>
        <w:rPr>
          <w:rFonts w:ascii="宋体" w:hAnsi="宋体" w:cs="Arial"/>
          <w:bCs/>
          <w:sz w:val="24"/>
        </w:rPr>
        <w:t>）收益分配方案</w:t>
      </w:r>
    </w:p>
    <w:p w14:paraId="3C8CD010" w14:textId="77777777" w:rsidR="00C52815" w:rsidRDefault="005C44F4">
      <w:pPr>
        <w:spacing w:line="360" w:lineRule="auto"/>
        <w:ind w:firstLineChars="225" w:firstLine="540"/>
        <w:rPr>
          <w:rFonts w:ascii="宋体" w:hAnsi="宋体" w:cs="Arial"/>
          <w:bCs/>
          <w:sz w:val="24"/>
        </w:rPr>
      </w:pPr>
      <w:r>
        <w:rPr>
          <w:rFonts w:ascii="宋体" w:hAnsi="宋体" w:cs="Arial"/>
          <w:bCs/>
          <w:sz w:val="24"/>
        </w:rPr>
        <w:t>基金收益分配方案中应载明基金收益分配对象、分配原则、分配时间、分配数额及比例、分配方式及有关手续费等内容。</w:t>
      </w:r>
    </w:p>
    <w:p w14:paraId="0116B92D" w14:textId="565088EC" w:rsidR="00C52815" w:rsidRDefault="005C44F4">
      <w:pPr>
        <w:spacing w:line="360" w:lineRule="auto"/>
        <w:ind w:firstLineChars="225" w:firstLine="540"/>
        <w:rPr>
          <w:rFonts w:ascii="宋体" w:hAnsi="宋体" w:cs="Arial"/>
          <w:bCs/>
          <w:sz w:val="24"/>
        </w:rPr>
      </w:pPr>
      <w:r>
        <w:rPr>
          <w:rFonts w:ascii="宋体" w:hAnsi="宋体" w:cs="Arial"/>
          <w:bCs/>
          <w:sz w:val="24"/>
        </w:rPr>
        <w:t>（</w:t>
      </w:r>
      <w:r w:rsidR="00CF5AA3">
        <w:rPr>
          <w:rFonts w:ascii="宋体" w:hAnsi="宋体" w:cs="Arial" w:hint="eastAsia"/>
          <w:bCs/>
          <w:sz w:val="24"/>
        </w:rPr>
        <w:t>三</w:t>
      </w:r>
      <w:r>
        <w:rPr>
          <w:rFonts w:ascii="宋体" w:hAnsi="宋体" w:cs="Arial"/>
          <w:bCs/>
          <w:sz w:val="24"/>
        </w:rPr>
        <w:t>）收益分配方案的确定、公告与实施</w:t>
      </w:r>
    </w:p>
    <w:p w14:paraId="5FCAB223" w14:textId="279086EE" w:rsidR="00C52815" w:rsidRDefault="005C44F4">
      <w:pPr>
        <w:spacing w:line="360" w:lineRule="auto"/>
        <w:ind w:firstLineChars="225" w:firstLine="540"/>
        <w:rPr>
          <w:rFonts w:ascii="宋体" w:hAnsi="宋体" w:cs="Arial"/>
          <w:bCs/>
          <w:sz w:val="24"/>
        </w:rPr>
      </w:pPr>
      <w:r>
        <w:rPr>
          <w:rFonts w:ascii="宋体" w:hAnsi="宋体" w:cs="Arial"/>
          <w:bCs/>
          <w:sz w:val="24"/>
        </w:rPr>
        <w:t>基金收益分配方案由基金管理人拟定，并由基金托管人复核，基金管理人依照《信息披露办法》的有关规定在规定媒介上公告。</w:t>
      </w:r>
    </w:p>
    <w:p w14:paraId="7E20CACB" w14:textId="6AA1B3A7" w:rsidR="00C52815" w:rsidRDefault="005C44F4">
      <w:pPr>
        <w:spacing w:line="360" w:lineRule="auto"/>
        <w:ind w:firstLineChars="225" w:firstLine="540"/>
        <w:rPr>
          <w:rFonts w:ascii="宋体" w:hAnsi="宋体" w:cs="Arial"/>
          <w:bCs/>
          <w:sz w:val="24"/>
        </w:rPr>
      </w:pPr>
      <w:r>
        <w:rPr>
          <w:rFonts w:ascii="宋体" w:hAnsi="宋体" w:cs="Arial"/>
          <w:bCs/>
          <w:sz w:val="24"/>
        </w:rPr>
        <w:t>（</w:t>
      </w:r>
      <w:r w:rsidR="00CF5AA3">
        <w:rPr>
          <w:rFonts w:ascii="宋体" w:hAnsi="宋体" w:cs="Arial" w:hint="eastAsia"/>
          <w:bCs/>
          <w:sz w:val="24"/>
        </w:rPr>
        <w:t>四</w:t>
      </w:r>
      <w:r>
        <w:rPr>
          <w:rFonts w:ascii="宋体" w:hAnsi="宋体" w:cs="Arial"/>
          <w:bCs/>
          <w:sz w:val="24"/>
        </w:rPr>
        <w:t>）基金收益分配中发生的费用</w:t>
      </w:r>
    </w:p>
    <w:p w14:paraId="4B10D07F" w14:textId="77777777" w:rsidR="00C52815" w:rsidRDefault="005C44F4">
      <w:pPr>
        <w:autoSpaceDE w:val="0"/>
        <w:autoSpaceDN w:val="0"/>
        <w:adjustRightInd w:val="0"/>
        <w:spacing w:line="360" w:lineRule="auto"/>
        <w:ind w:firstLineChars="225" w:firstLine="540"/>
        <w:jc w:val="left"/>
        <w:rPr>
          <w:rFonts w:ascii="宋体" w:hAnsi="宋体" w:cs="Arial"/>
          <w:bCs/>
          <w:sz w:val="24"/>
        </w:rPr>
      </w:pPr>
      <w:r>
        <w:rPr>
          <w:rFonts w:ascii="宋体" w:hAnsi="宋体" w:cs="Arial"/>
          <w:bCs/>
          <w:sz w:val="24"/>
        </w:rPr>
        <w:t>收益分配时发生的银行转账等手续费用由基金份额持有人自行承担。</w:t>
      </w:r>
    </w:p>
    <w:p w14:paraId="5F1B70A0" w14:textId="77777777" w:rsidR="00C52815" w:rsidRDefault="00C52815">
      <w:pPr>
        <w:autoSpaceDE w:val="0"/>
        <w:autoSpaceDN w:val="0"/>
        <w:adjustRightInd w:val="0"/>
        <w:spacing w:line="360" w:lineRule="auto"/>
        <w:ind w:firstLineChars="225" w:firstLine="540"/>
        <w:jc w:val="left"/>
        <w:rPr>
          <w:rFonts w:ascii="宋体" w:hAnsi="宋体" w:cs="Arial"/>
          <w:bCs/>
          <w:sz w:val="24"/>
        </w:rPr>
      </w:pPr>
    </w:p>
    <w:p w14:paraId="3ABC97D2" w14:textId="77777777" w:rsidR="00C52815" w:rsidRDefault="005C44F4">
      <w:pPr>
        <w:autoSpaceDE w:val="0"/>
        <w:autoSpaceDN w:val="0"/>
        <w:adjustRightInd w:val="0"/>
        <w:spacing w:line="360" w:lineRule="auto"/>
        <w:ind w:firstLineChars="225" w:firstLine="542"/>
        <w:jc w:val="left"/>
        <w:rPr>
          <w:rFonts w:ascii="宋体" w:hAnsi="宋体" w:cs="Arial"/>
          <w:b/>
          <w:bCs/>
          <w:sz w:val="24"/>
          <w:szCs w:val="24"/>
        </w:rPr>
      </w:pPr>
      <w:r>
        <w:rPr>
          <w:rFonts w:ascii="宋体" w:hAnsi="宋体" w:cs="Arial"/>
          <w:b/>
          <w:bCs/>
          <w:sz w:val="24"/>
          <w:szCs w:val="24"/>
        </w:rPr>
        <w:t>四、与基金财产管理、运用有关费用的提取、支付方式与比例</w:t>
      </w:r>
    </w:p>
    <w:p w14:paraId="70192A2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（一）基金费用的种类</w:t>
      </w:r>
    </w:p>
    <w:p w14:paraId="3E0CEB9D"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1、基金管理人的管理费；</w:t>
      </w:r>
    </w:p>
    <w:p w14:paraId="10B7B563"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2、基金托管人的托管费；</w:t>
      </w:r>
    </w:p>
    <w:p w14:paraId="72B65826"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3、《基金合同》生效后与基金相关的信息披露费用；</w:t>
      </w:r>
    </w:p>
    <w:p w14:paraId="5860AB0E"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4、《基金合同》生效后与基金相关的会计师费、律师费和诉讼或仲裁费；</w:t>
      </w:r>
    </w:p>
    <w:p w14:paraId="0F8F1EAB"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5、基金份额持有人大会费用；</w:t>
      </w:r>
    </w:p>
    <w:p w14:paraId="00982CCA"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6、因基金的证券、期货、期权交易或结算而产生的费用（包括但不限于经手费、印花税、证管费、过户费、手续费、券商佣金及其他类似性质的费用等）；</w:t>
      </w:r>
    </w:p>
    <w:p w14:paraId="68FAEA5E"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7、基金的银行汇划费用；</w:t>
      </w:r>
    </w:p>
    <w:p w14:paraId="7CFDFFB2"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8、基金的开户费用、账户维护费用；</w:t>
      </w:r>
    </w:p>
    <w:p w14:paraId="37475C61"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9、基金的上市初费和年费；</w:t>
      </w:r>
    </w:p>
    <w:p w14:paraId="47AFD3DF"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10、因投资港股通标的股票而产生的各项费用；</w:t>
      </w:r>
    </w:p>
    <w:p w14:paraId="22523452" w14:textId="3F5FFBA9" w:rsidR="00C52815"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11、按照国家有关规定和《基金合同》约定，可以在基金财产中列支的其他费用</w:t>
      </w:r>
      <w:r w:rsidR="005C44F4">
        <w:rPr>
          <w:rFonts w:ascii="宋体" w:hAnsi="宋体" w:cs="Arial"/>
          <w:bCs/>
          <w:sz w:val="24"/>
        </w:rPr>
        <w:t>。</w:t>
      </w:r>
    </w:p>
    <w:p w14:paraId="46ADF50C"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（二）基金费用计提方法、计提标准和支付方式</w:t>
      </w:r>
    </w:p>
    <w:p w14:paraId="22AC0391"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 xml:space="preserve">1、基金管理人的管理费 </w:t>
      </w:r>
    </w:p>
    <w:p w14:paraId="3C11A66C"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本基金的管理费按前一日基金资产净值的0.50%年费率计提。管理费的计算方法如下：</w:t>
      </w:r>
    </w:p>
    <w:p w14:paraId="0C2A416C"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H＝E×0.50%÷当年天数</w:t>
      </w:r>
    </w:p>
    <w:p w14:paraId="4C1C8AF3"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H为每日应计提的基金管理费</w:t>
      </w:r>
    </w:p>
    <w:p w14:paraId="7E0B6763"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E为前一日的基金资产净值</w:t>
      </w:r>
    </w:p>
    <w:p w14:paraId="7F8F70A9" w14:textId="168A3C60" w:rsidR="00C52815"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基金管理费每日计提，按月支付。由基金托管人根据与基金管理人核对一致的财务数据，自动在月初5</w:t>
      </w:r>
      <w:proofErr w:type="gramStart"/>
      <w:r w:rsidRPr="00041270">
        <w:rPr>
          <w:rFonts w:ascii="宋体" w:hAnsi="宋体" w:cs="Arial" w:hint="eastAsia"/>
          <w:bCs/>
          <w:sz w:val="24"/>
        </w:rPr>
        <w:t>个</w:t>
      </w:r>
      <w:proofErr w:type="gramEnd"/>
      <w:r w:rsidRPr="00041270">
        <w:rPr>
          <w:rFonts w:ascii="宋体" w:hAnsi="宋体" w:cs="Arial"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r w:rsidR="003413C5" w:rsidRPr="005F0FEB">
        <w:rPr>
          <w:rFonts w:ascii="宋体" w:hAnsi="宋体" w:cs="Malgun Gothic Semilight" w:hint="eastAsia"/>
          <w:sz w:val="24"/>
          <w:szCs w:val="24"/>
        </w:rPr>
        <w:t>。</w:t>
      </w:r>
    </w:p>
    <w:p w14:paraId="3CE1F7A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2、基金托管人的托管费</w:t>
      </w:r>
    </w:p>
    <w:p w14:paraId="520A9BAE"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本基金的托管费按前一日基金资产净值的0.10%年费率计提。托管费的计算方法如下：</w:t>
      </w:r>
    </w:p>
    <w:p w14:paraId="7C0354C6"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H＝E×0.10%÷当年天数</w:t>
      </w:r>
    </w:p>
    <w:p w14:paraId="26D825B8"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H为每日应计提的基金托管费</w:t>
      </w:r>
    </w:p>
    <w:p w14:paraId="4D2BCC00"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E为前一日的基金资产净值</w:t>
      </w:r>
    </w:p>
    <w:p w14:paraId="79E5A9D5" w14:textId="243DF2C5" w:rsidR="00A002A9" w:rsidRDefault="00041270" w:rsidP="00041270">
      <w:pPr>
        <w:spacing w:line="360" w:lineRule="auto"/>
        <w:ind w:firstLineChars="200" w:firstLine="480"/>
        <w:rPr>
          <w:rFonts w:ascii="宋体" w:hAnsi="宋体" w:cs="Malgun Gothic Semilight"/>
          <w:sz w:val="24"/>
          <w:szCs w:val="24"/>
        </w:rPr>
      </w:pPr>
      <w:r w:rsidRPr="00041270">
        <w:rPr>
          <w:rFonts w:ascii="宋体" w:hAnsi="宋体" w:cs="Arial" w:hint="eastAsia"/>
          <w:bCs/>
          <w:sz w:val="24"/>
        </w:rPr>
        <w:t>基金托管费每日计提，按月支付。由基金托管人根据与基金管理人核对一致的财务数据，自动在月初5</w:t>
      </w:r>
      <w:proofErr w:type="gramStart"/>
      <w:r w:rsidRPr="00041270">
        <w:rPr>
          <w:rFonts w:ascii="宋体" w:hAnsi="宋体" w:cs="Arial" w:hint="eastAsia"/>
          <w:bCs/>
          <w:sz w:val="24"/>
        </w:rPr>
        <w:t>个</w:t>
      </w:r>
      <w:proofErr w:type="gramEnd"/>
      <w:r w:rsidRPr="00041270">
        <w:rPr>
          <w:rFonts w:ascii="宋体" w:hAnsi="宋体" w:cs="Arial"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r w:rsidR="003413C5" w:rsidRPr="005F0FEB">
        <w:rPr>
          <w:rFonts w:ascii="宋体" w:hAnsi="宋体" w:cs="Malgun Gothic Semilight" w:hint="eastAsia"/>
          <w:sz w:val="24"/>
          <w:szCs w:val="24"/>
        </w:rPr>
        <w:t>。</w:t>
      </w:r>
    </w:p>
    <w:p w14:paraId="196B59A2" w14:textId="77777777" w:rsidR="00C52815" w:rsidRDefault="005C44F4">
      <w:pPr>
        <w:spacing w:line="360" w:lineRule="auto"/>
        <w:ind w:firstLineChars="200" w:firstLine="480"/>
        <w:rPr>
          <w:rFonts w:ascii="宋体" w:hAnsi="宋体" w:cs="Arial"/>
          <w:bCs/>
          <w:sz w:val="24"/>
        </w:rPr>
      </w:pPr>
      <w:r>
        <w:rPr>
          <w:rFonts w:ascii="宋体" w:hAnsi="宋体" w:cs="Arial" w:hint="eastAsia"/>
          <w:bCs/>
          <w:sz w:val="24"/>
        </w:rPr>
        <w:t>3、除管理费、托管费之外的基金费用，根据有关法规及相应协议的规定，按费用实际支出金额，列入或摊入当期基金费用，由基金托管人从基金财产中支付。</w:t>
      </w:r>
    </w:p>
    <w:p w14:paraId="465A492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（三）不列入基金费用的项目</w:t>
      </w:r>
    </w:p>
    <w:p w14:paraId="10B665C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下列费用不列入基金费用：</w:t>
      </w:r>
    </w:p>
    <w:p w14:paraId="77B71032"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1、基金管理人和基金托管人因未履行或未完全履行义务导致的费用支出或</w:t>
      </w:r>
      <w:r w:rsidRPr="00041270">
        <w:rPr>
          <w:rFonts w:ascii="宋体" w:hAnsi="宋体" w:cs="Arial" w:hint="eastAsia"/>
          <w:bCs/>
          <w:sz w:val="24"/>
        </w:rPr>
        <w:lastRenderedPageBreak/>
        <w:t>基金财产的损失；</w:t>
      </w:r>
    </w:p>
    <w:p w14:paraId="44F54D05"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2、基金管理人和基金托管人处理与基金运作无关的事项发生的费用；</w:t>
      </w:r>
    </w:p>
    <w:p w14:paraId="1198803A"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3、《基金合同》生效前的相关费用；</w:t>
      </w:r>
    </w:p>
    <w:p w14:paraId="227BE885"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4、指数许可使用费（指数许可使用费由基金管理人承担，不得从基金财产中列支）；</w:t>
      </w:r>
    </w:p>
    <w:p w14:paraId="25177AC9" w14:textId="0693F9AE" w:rsidR="00C52815"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5、其他根据相关法律法规及中国证监会的有关规定不得列入基金费用的项目</w:t>
      </w:r>
      <w:r w:rsidR="005C44F4">
        <w:rPr>
          <w:rFonts w:ascii="宋体" w:hAnsi="宋体" w:cs="Arial"/>
          <w:bCs/>
          <w:sz w:val="24"/>
        </w:rPr>
        <w:t>。</w:t>
      </w:r>
    </w:p>
    <w:p w14:paraId="10CE379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（四）基金税收</w:t>
      </w:r>
    </w:p>
    <w:p w14:paraId="5237ECD4" w14:textId="77777777" w:rsidR="00C52815" w:rsidRDefault="005C44F4">
      <w:pPr>
        <w:spacing w:line="360" w:lineRule="auto"/>
        <w:ind w:firstLineChars="200" w:firstLine="480"/>
        <w:rPr>
          <w:rFonts w:ascii="宋体" w:hAnsi="宋体" w:cs="Arial"/>
          <w:bCs/>
          <w:sz w:val="24"/>
        </w:rPr>
      </w:pPr>
      <w:r>
        <w:rPr>
          <w:rFonts w:ascii="宋体" w:hAnsi="宋体" w:cs="Arial" w:hint="eastAsia"/>
          <w:bCs/>
          <w:sz w:val="24"/>
        </w:rPr>
        <w:t>本基金支付给基金管理人、基金托管人的各项费用均为含税价格，具体税率适用中国税务机关的相关规定。</w:t>
      </w:r>
    </w:p>
    <w:p w14:paraId="468571B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本基金运作过程中涉及的各纳税主体，其纳税义务按国家税收法律、法规执行，但本基金运作过程中应缴纳的增值税、附加税费等税费由基金财产承担，按照税务机关的要求以基金管理人名义缴纳。</w:t>
      </w:r>
    </w:p>
    <w:p w14:paraId="08680DCA" w14:textId="77777777" w:rsidR="00C52815" w:rsidRDefault="00C52815">
      <w:pPr>
        <w:autoSpaceDE w:val="0"/>
        <w:autoSpaceDN w:val="0"/>
        <w:adjustRightInd w:val="0"/>
        <w:spacing w:line="360" w:lineRule="auto"/>
        <w:ind w:firstLineChars="225" w:firstLine="540"/>
        <w:jc w:val="left"/>
        <w:rPr>
          <w:rFonts w:ascii="宋体" w:hAnsi="宋体" w:cs="Arial"/>
          <w:sz w:val="24"/>
        </w:rPr>
      </w:pPr>
    </w:p>
    <w:p w14:paraId="1AE5BA7A" w14:textId="77777777" w:rsidR="00C52815" w:rsidRDefault="005C44F4">
      <w:pPr>
        <w:autoSpaceDE w:val="0"/>
        <w:autoSpaceDN w:val="0"/>
        <w:adjustRightInd w:val="0"/>
        <w:spacing w:line="360" w:lineRule="auto"/>
        <w:ind w:firstLineChars="225" w:firstLine="542"/>
        <w:jc w:val="left"/>
        <w:rPr>
          <w:rFonts w:ascii="宋体" w:hAnsi="宋体" w:cs="Arial"/>
          <w:b/>
          <w:sz w:val="24"/>
          <w:szCs w:val="24"/>
        </w:rPr>
      </w:pPr>
      <w:r>
        <w:rPr>
          <w:rFonts w:ascii="宋体" w:hAnsi="宋体" w:cs="Arial"/>
          <w:b/>
          <w:sz w:val="24"/>
          <w:szCs w:val="24"/>
        </w:rPr>
        <w:t>五、基金财产的投资方向和投资限制</w:t>
      </w:r>
    </w:p>
    <w:p w14:paraId="7A2FA7B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（一）投资目标</w:t>
      </w:r>
    </w:p>
    <w:p w14:paraId="1142300A" w14:textId="21FB7827" w:rsidR="00C52815" w:rsidRDefault="00041270">
      <w:pPr>
        <w:spacing w:line="360" w:lineRule="auto"/>
        <w:ind w:firstLineChars="200" w:firstLine="480"/>
        <w:rPr>
          <w:rFonts w:ascii="宋体" w:hAnsi="宋体" w:cs="Arial"/>
          <w:bCs/>
          <w:sz w:val="24"/>
        </w:rPr>
      </w:pPr>
      <w:r w:rsidRPr="00041270">
        <w:rPr>
          <w:rFonts w:ascii="宋体" w:hAnsi="宋体" w:cs="Arial" w:hint="eastAsia"/>
          <w:bCs/>
          <w:sz w:val="24"/>
        </w:rPr>
        <w:t>本基金进行被动式指数化投资，紧密跟踪标的指数，追求跟踪偏离度和跟踪误差的最小化，</w:t>
      </w:r>
      <w:r w:rsidR="00884C7F" w:rsidRPr="00884C7F">
        <w:rPr>
          <w:rFonts w:ascii="宋体" w:hAnsi="宋体" w:cs="Arial" w:hint="eastAsia"/>
          <w:bCs/>
          <w:sz w:val="24"/>
        </w:rPr>
        <w:t>力争日均跟踪偏离度的绝对值不超过0.35%，</w:t>
      </w:r>
      <w:proofErr w:type="gramStart"/>
      <w:r w:rsidR="00884C7F" w:rsidRPr="00884C7F">
        <w:rPr>
          <w:rFonts w:ascii="宋体" w:hAnsi="宋体" w:cs="Arial" w:hint="eastAsia"/>
          <w:bCs/>
          <w:sz w:val="24"/>
        </w:rPr>
        <w:t>年化跟踪误差</w:t>
      </w:r>
      <w:proofErr w:type="gramEnd"/>
      <w:r w:rsidR="00884C7F" w:rsidRPr="00884C7F">
        <w:rPr>
          <w:rFonts w:ascii="宋体" w:hAnsi="宋体" w:cs="Arial" w:hint="eastAsia"/>
          <w:bCs/>
          <w:sz w:val="24"/>
        </w:rPr>
        <w:t>不超过4%</w:t>
      </w:r>
      <w:r w:rsidR="005C44F4">
        <w:rPr>
          <w:rFonts w:ascii="宋体" w:hAnsi="宋体" w:cs="Arial"/>
          <w:bCs/>
          <w:sz w:val="24"/>
        </w:rPr>
        <w:t>。</w:t>
      </w:r>
    </w:p>
    <w:p w14:paraId="33399C3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（二）投资范围</w:t>
      </w:r>
    </w:p>
    <w:p w14:paraId="0DDDA696"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本基金的投资范围主要为标的指数成份股和备选成份股（</w:t>
      </w:r>
      <w:proofErr w:type="gramStart"/>
      <w:r w:rsidRPr="00041270">
        <w:rPr>
          <w:rFonts w:ascii="宋体" w:hAnsi="宋体" w:cs="Arial" w:hint="eastAsia"/>
          <w:bCs/>
          <w:sz w:val="24"/>
        </w:rPr>
        <w:t>含存托</w:t>
      </w:r>
      <w:proofErr w:type="gramEnd"/>
      <w:r w:rsidRPr="00041270">
        <w:rPr>
          <w:rFonts w:ascii="宋体" w:hAnsi="宋体" w:cs="Arial" w:hint="eastAsia"/>
          <w:bCs/>
          <w:sz w:val="24"/>
        </w:rPr>
        <w:t>凭证，下同）。此外，为更好地实现投资目标，本基金可少量投资于部分非成份股（包含主板、创业板、</w:t>
      </w:r>
      <w:proofErr w:type="gramStart"/>
      <w:r w:rsidRPr="00041270">
        <w:rPr>
          <w:rFonts w:ascii="宋体" w:hAnsi="宋体" w:cs="Arial" w:hint="eastAsia"/>
          <w:bCs/>
          <w:sz w:val="24"/>
        </w:rPr>
        <w:t>科创板</w:t>
      </w:r>
      <w:proofErr w:type="gramEnd"/>
      <w:r w:rsidRPr="00041270">
        <w:rPr>
          <w:rFonts w:ascii="宋体" w:hAnsi="宋体" w:cs="Arial" w:hint="eastAsia"/>
          <w:bCs/>
          <w:sz w:val="24"/>
        </w:rPr>
        <w:t>、依法发行上市的其他港股通标的股票及其他依法发行上市的股票、存托凭证）、债券资产（国债、地方政府债、金融债、企业债、公司债、次级债、可转换债券（含分离交易可转债）、可交换债券、央行票据、中期票据、短期融资</w:t>
      </w:r>
      <w:proofErr w:type="gramStart"/>
      <w:r w:rsidRPr="00041270">
        <w:rPr>
          <w:rFonts w:ascii="宋体" w:hAnsi="宋体" w:cs="Arial" w:hint="eastAsia"/>
          <w:bCs/>
          <w:sz w:val="24"/>
        </w:rPr>
        <w:t>券</w:t>
      </w:r>
      <w:proofErr w:type="gramEnd"/>
      <w:r w:rsidRPr="00041270">
        <w:rPr>
          <w:rFonts w:ascii="宋体" w:hAnsi="宋体" w:cs="Arial" w:hint="eastAsia"/>
          <w:bCs/>
          <w:sz w:val="24"/>
        </w:rPr>
        <w:t>、超短期融资</w:t>
      </w:r>
      <w:proofErr w:type="gramStart"/>
      <w:r w:rsidRPr="00041270">
        <w:rPr>
          <w:rFonts w:ascii="宋体" w:hAnsi="宋体" w:cs="Arial" w:hint="eastAsia"/>
          <w:bCs/>
          <w:sz w:val="24"/>
        </w:rPr>
        <w:t>券</w:t>
      </w:r>
      <w:proofErr w:type="gramEnd"/>
      <w:r w:rsidRPr="00041270">
        <w:rPr>
          <w:rFonts w:ascii="宋体" w:hAnsi="宋体" w:cs="Arial" w:hint="eastAsia"/>
          <w:bCs/>
          <w:sz w:val="24"/>
        </w:rPr>
        <w:t>等）、资产支持证券、衍生工具（股指期货、股票期权、国债期货等）、债券回购、银行存款、同业存单、现金资产以及中国证监会允许基金投资的其他金融工具（但须符合中国证监会的相关规定）。</w:t>
      </w:r>
    </w:p>
    <w:p w14:paraId="0B4C6E69"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本基金可根据相关法律法规和基金合同的约定，参与融资业务和转融通证</w:t>
      </w:r>
      <w:r w:rsidRPr="00041270">
        <w:rPr>
          <w:rFonts w:ascii="宋体" w:hAnsi="宋体" w:cs="Arial" w:hint="eastAsia"/>
          <w:bCs/>
          <w:sz w:val="24"/>
        </w:rPr>
        <w:lastRenderedPageBreak/>
        <w:t>券出借业务。</w:t>
      </w:r>
    </w:p>
    <w:p w14:paraId="0E34622D" w14:textId="77777777" w:rsidR="00041270" w:rsidRPr="00041270"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如法律法规或监管机构以后允许基金投资其他品种，基金管理人在履行适当程序后，可以将其纳入投资范围。</w:t>
      </w:r>
    </w:p>
    <w:p w14:paraId="785DA13C" w14:textId="0AA71C63" w:rsidR="00F23C1B" w:rsidRDefault="00041270" w:rsidP="00041270">
      <w:pPr>
        <w:spacing w:line="360" w:lineRule="auto"/>
        <w:ind w:firstLineChars="200" w:firstLine="480"/>
        <w:rPr>
          <w:rFonts w:ascii="宋体" w:hAnsi="宋体" w:cs="Arial"/>
          <w:bCs/>
          <w:sz w:val="24"/>
        </w:rPr>
      </w:pPr>
      <w:r w:rsidRPr="00041270">
        <w:rPr>
          <w:rFonts w:ascii="宋体" w:hAnsi="宋体" w:cs="Arial" w:hint="eastAsia"/>
          <w:bCs/>
          <w:sz w:val="24"/>
        </w:rPr>
        <w:t>本基金投资标的指数成份股及备选成份股的比例不低于基金资产净值的90%，且不低于非现金基金资产的80%，因法律法规的规定而受限制的情形除外。股指期货、股票期权和国债期货及其他金融工具的投资比例符合法律法规和监管机构的规定</w:t>
      </w:r>
      <w:r w:rsidR="00F23C1B" w:rsidRPr="000B191F">
        <w:rPr>
          <w:rFonts w:ascii="宋体" w:hAnsi="宋体" w:cs="Arial" w:hint="eastAsia"/>
          <w:bCs/>
          <w:sz w:val="24"/>
        </w:rPr>
        <w:t>。</w:t>
      </w:r>
    </w:p>
    <w:p w14:paraId="0DF6FE41" w14:textId="157ED16D" w:rsidR="00953BE9" w:rsidRPr="00953BE9" w:rsidRDefault="005C44F4" w:rsidP="00953BE9">
      <w:pPr>
        <w:spacing w:line="360" w:lineRule="auto"/>
        <w:ind w:firstLineChars="200" w:firstLine="480"/>
        <w:rPr>
          <w:rFonts w:ascii="宋体" w:hAnsi="宋体" w:cs="Arial"/>
          <w:bCs/>
          <w:sz w:val="24"/>
        </w:rPr>
      </w:pPr>
      <w:r>
        <w:rPr>
          <w:rFonts w:ascii="宋体" w:hAnsi="宋体" w:cs="Arial"/>
          <w:bCs/>
          <w:sz w:val="24"/>
        </w:rPr>
        <w:t>（三）</w:t>
      </w:r>
      <w:r w:rsidR="00953BE9" w:rsidRPr="00953BE9">
        <w:rPr>
          <w:rFonts w:ascii="宋体" w:hAnsi="宋体" w:cs="Arial" w:hint="eastAsia"/>
          <w:bCs/>
          <w:sz w:val="24"/>
        </w:rPr>
        <w:t>投资策略</w:t>
      </w:r>
    </w:p>
    <w:p w14:paraId="5784AF85" w14:textId="77777777" w:rsidR="00953BE9" w:rsidRPr="00953BE9" w:rsidRDefault="00953BE9" w:rsidP="00953BE9">
      <w:pPr>
        <w:spacing w:line="360" w:lineRule="auto"/>
        <w:ind w:firstLineChars="200" w:firstLine="480"/>
        <w:rPr>
          <w:rFonts w:ascii="宋体" w:hAnsi="宋体" w:cs="Arial"/>
          <w:bCs/>
          <w:sz w:val="24"/>
        </w:rPr>
      </w:pPr>
      <w:r w:rsidRPr="00953BE9">
        <w:rPr>
          <w:rFonts w:ascii="宋体" w:hAnsi="宋体" w:cs="Arial" w:hint="eastAsia"/>
          <w:bCs/>
          <w:sz w:val="24"/>
        </w:rPr>
        <w:t>1、股票投资策略</w:t>
      </w:r>
    </w:p>
    <w:p w14:paraId="184E6C18" w14:textId="77777777" w:rsidR="00953BE9" w:rsidRPr="00953BE9" w:rsidRDefault="00953BE9" w:rsidP="00953BE9">
      <w:pPr>
        <w:spacing w:line="360" w:lineRule="auto"/>
        <w:ind w:firstLineChars="200" w:firstLine="480"/>
        <w:rPr>
          <w:rFonts w:ascii="宋体" w:hAnsi="宋体" w:cs="Arial"/>
          <w:bCs/>
          <w:sz w:val="24"/>
        </w:rPr>
      </w:pPr>
      <w:r w:rsidRPr="00953BE9">
        <w:rPr>
          <w:rFonts w:ascii="宋体" w:hAnsi="宋体" w:cs="Arial" w:hint="eastAsia"/>
          <w:bCs/>
          <w:sz w:val="24"/>
        </w:rPr>
        <w:t>本基金主要采取完全复制法，即完全按照标的指数的成份</w:t>
      </w:r>
      <w:proofErr w:type="gramStart"/>
      <w:r w:rsidRPr="00953BE9">
        <w:rPr>
          <w:rFonts w:ascii="宋体" w:hAnsi="宋体" w:cs="Arial" w:hint="eastAsia"/>
          <w:bCs/>
          <w:sz w:val="24"/>
        </w:rPr>
        <w:t>股组成</w:t>
      </w:r>
      <w:proofErr w:type="gramEnd"/>
      <w:r w:rsidRPr="00953BE9">
        <w:rPr>
          <w:rFonts w:ascii="宋体" w:hAnsi="宋体" w:cs="Arial" w:hint="eastAsia"/>
          <w:bCs/>
          <w:sz w:val="24"/>
        </w:rPr>
        <w:t>及其权重构建基金股票投资组合，并根据标的指数成份股及其权重的变动进行相应调整。但因特殊情况（如流动性原因等）导致无法完全投资于标的指数成份股时，或者因为法律法规的限制无法投资某只股票时，基金管理人将采用其他指数投资技术适当调整基金投资组合，以达到跟踪标的指数的目的。</w:t>
      </w:r>
    </w:p>
    <w:p w14:paraId="139581FA" w14:textId="77777777" w:rsidR="00953BE9" w:rsidRPr="00953BE9" w:rsidRDefault="00953BE9" w:rsidP="00953BE9">
      <w:pPr>
        <w:spacing w:line="360" w:lineRule="auto"/>
        <w:ind w:firstLineChars="200" w:firstLine="480"/>
        <w:rPr>
          <w:rFonts w:ascii="宋体" w:hAnsi="宋体" w:cs="Arial"/>
          <w:bCs/>
          <w:sz w:val="24"/>
        </w:rPr>
      </w:pPr>
      <w:r w:rsidRPr="00953BE9">
        <w:rPr>
          <w:rFonts w:ascii="宋体" w:hAnsi="宋体" w:cs="Arial" w:hint="eastAsia"/>
          <w:bCs/>
          <w:sz w:val="24"/>
        </w:rPr>
        <w:t>如因标的指数编制规则调整或其他因素导致跟踪偏离度和跟踪误差超过投资目标所述范围的，基金管理人应采取合理措施避免跟踪误差进一步扩大。</w:t>
      </w:r>
    </w:p>
    <w:p w14:paraId="69A82291" w14:textId="77777777" w:rsidR="00953BE9" w:rsidRPr="00953BE9" w:rsidRDefault="00953BE9" w:rsidP="00953BE9">
      <w:pPr>
        <w:spacing w:line="360" w:lineRule="auto"/>
        <w:ind w:firstLineChars="200" w:firstLine="480"/>
        <w:rPr>
          <w:rFonts w:ascii="宋体" w:hAnsi="宋体" w:cs="Arial"/>
          <w:bCs/>
          <w:sz w:val="24"/>
        </w:rPr>
      </w:pPr>
      <w:r w:rsidRPr="00953BE9">
        <w:rPr>
          <w:rFonts w:ascii="宋体" w:hAnsi="宋体" w:cs="Arial" w:hint="eastAsia"/>
          <w:bCs/>
          <w:sz w:val="24"/>
        </w:rPr>
        <w:t>本基金可通过内地与香港股票市场交易互联互通机制投资于香港股票市场，不使用合格境内机构投资者（QDII）境外投资额度进行境外投资。</w:t>
      </w:r>
    </w:p>
    <w:p w14:paraId="72431134" w14:textId="77777777" w:rsidR="00953BE9" w:rsidRPr="00953BE9" w:rsidRDefault="00953BE9" w:rsidP="00953BE9">
      <w:pPr>
        <w:spacing w:line="360" w:lineRule="auto"/>
        <w:ind w:firstLineChars="200" w:firstLine="480"/>
        <w:rPr>
          <w:rFonts w:ascii="宋体" w:hAnsi="宋体" w:cs="Arial"/>
          <w:bCs/>
          <w:sz w:val="24"/>
        </w:rPr>
      </w:pPr>
      <w:r w:rsidRPr="00953BE9">
        <w:rPr>
          <w:rFonts w:ascii="宋体" w:hAnsi="宋体" w:cs="Arial" w:hint="eastAsia"/>
          <w:bCs/>
          <w:sz w:val="24"/>
        </w:rPr>
        <w:t>2、存托凭证投资策略</w:t>
      </w:r>
    </w:p>
    <w:p w14:paraId="11F7F3C0" w14:textId="77777777" w:rsidR="00953BE9" w:rsidRPr="00953BE9" w:rsidRDefault="00953BE9" w:rsidP="00953BE9">
      <w:pPr>
        <w:spacing w:line="360" w:lineRule="auto"/>
        <w:ind w:firstLineChars="200" w:firstLine="480"/>
        <w:rPr>
          <w:rFonts w:ascii="宋体" w:hAnsi="宋体" w:cs="Arial"/>
          <w:bCs/>
          <w:sz w:val="24"/>
        </w:rPr>
      </w:pPr>
      <w:r w:rsidRPr="00953BE9">
        <w:rPr>
          <w:rFonts w:ascii="宋体" w:hAnsi="宋体" w:cs="Arial" w:hint="eastAsia"/>
          <w:bCs/>
          <w:sz w:val="24"/>
        </w:rPr>
        <w:t>本基金可投资存托凭证，本基金将结合对宏观经济状况、行业景气度、公司竞争优势、公司治理结构、估值水平等因素的分析判断，选择投资价值高的存托凭证进行投资。</w:t>
      </w:r>
    </w:p>
    <w:p w14:paraId="704EC9F7" w14:textId="77777777" w:rsidR="00953BE9" w:rsidRPr="00953BE9" w:rsidRDefault="00953BE9" w:rsidP="00953BE9">
      <w:pPr>
        <w:spacing w:line="360" w:lineRule="auto"/>
        <w:ind w:firstLineChars="200" w:firstLine="480"/>
        <w:rPr>
          <w:rFonts w:ascii="宋体" w:hAnsi="宋体" w:cs="Arial"/>
          <w:bCs/>
          <w:sz w:val="24"/>
        </w:rPr>
      </w:pPr>
      <w:r w:rsidRPr="00953BE9">
        <w:rPr>
          <w:rFonts w:ascii="宋体" w:hAnsi="宋体" w:cs="Arial" w:hint="eastAsia"/>
          <w:bCs/>
          <w:sz w:val="24"/>
        </w:rPr>
        <w:t>3、债券投资策略</w:t>
      </w:r>
    </w:p>
    <w:p w14:paraId="19A6F1EF" w14:textId="77777777" w:rsidR="00953BE9" w:rsidRPr="00953BE9" w:rsidRDefault="00953BE9" w:rsidP="00953BE9">
      <w:pPr>
        <w:spacing w:line="360" w:lineRule="auto"/>
        <w:ind w:firstLineChars="200" w:firstLine="480"/>
        <w:rPr>
          <w:rFonts w:ascii="宋体" w:hAnsi="宋体" w:cs="Arial"/>
          <w:bCs/>
          <w:sz w:val="24"/>
        </w:rPr>
      </w:pPr>
      <w:r w:rsidRPr="00953BE9">
        <w:rPr>
          <w:rFonts w:ascii="宋体" w:hAnsi="宋体" w:cs="Arial" w:hint="eastAsia"/>
          <w:bCs/>
          <w:sz w:val="24"/>
        </w:rPr>
        <w:t>（1）类属配置策略</w:t>
      </w:r>
    </w:p>
    <w:p w14:paraId="349C1233" w14:textId="77777777" w:rsidR="00953BE9" w:rsidRPr="00953BE9" w:rsidRDefault="00953BE9" w:rsidP="00953BE9">
      <w:pPr>
        <w:spacing w:line="360" w:lineRule="auto"/>
        <w:ind w:firstLineChars="200" w:firstLine="480"/>
        <w:rPr>
          <w:rFonts w:ascii="宋体" w:hAnsi="宋体" w:cs="Arial"/>
          <w:bCs/>
          <w:sz w:val="24"/>
        </w:rPr>
      </w:pPr>
      <w:r w:rsidRPr="00953BE9">
        <w:rPr>
          <w:rFonts w:ascii="宋体" w:hAnsi="宋体" w:cs="Arial" w:hint="eastAsia"/>
          <w:bCs/>
          <w:sz w:val="24"/>
        </w:rPr>
        <w:t>类属配置是指对各市场及各种类的固定收益类金融工具之间的比例进行适时、动态的分配和调整，确定最能符合本基金风险收益特征的资产组合。投资的目的是在保证基金资产流动性的基础上，降低跟踪误差。本基金将采用宏观环境分析和微观市场定价分析两个方面进行债券资产的投资，通过主要采取</w:t>
      </w:r>
      <w:proofErr w:type="gramStart"/>
      <w:r w:rsidRPr="00953BE9">
        <w:rPr>
          <w:rFonts w:ascii="宋体" w:hAnsi="宋体" w:cs="Arial" w:hint="eastAsia"/>
          <w:bCs/>
          <w:sz w:val="24"/>
        </w:rPr>
        <w:t>组合久期配置</w:t>
      </w:r>
      <w:proofErr w:type="gramEnd"/>
      <w:r w:rsidRPr="00953BE9">
        <w:rPr>
          <w:rFonts w:ascii="宋体" w:hAnsi="宋体" w:cs="Arial" w:hint="eastAsia"/>
          <w:bCs/>
          <w:sz w:val="24"/>
        </w:rPr>
        <w:t>策略构建投资组合。</w:t>
      </w:r>
    </w:p>
    <w:p w14:paraId="62730717" w14:textId="77777777" w:rsidR="00953BE9" w:rsidRPr="00953BE9" w:rsidRDefault="00953BE9" w:rsidP="00953BE9">
      <w:pPr>
        <w:spacing w:line="360" w:lineRule="auto"/>
        <w:ind w:firstLineChars="200" w:firstLine="480"/>
        <w:rPr>
          <w:rFonts w:ascii="宋体" w:hAnsi="宋体" w:cs="Arial"/>
          <w:bCs/>
          <w:sz w:val="24"/>
        </w:rPr>
      </w:pPr>
      <w:r w:rsidRPr="00953BE9">
        <w:rPr>
          <w:rFonts w:ascii="宋体" w:hAnsi="宋体" w:cs="Arial" w:hint="eastAsia"/>
          <w:bCs/>
          <w:sz w:val="24"/>
        </w:rPr>
        <w:lastRenderedPageBreak/>
        <w:t>（2）可转换债券与可交换公司债券投资策略</w:t>
      </w:r>
    </w:p>
    <w:p w14:paraId="71E3F204" w14:textId="77777777" w:rsidR="00953BE9" w:rsidRPr="00953BE9" w:rsidRDefault="00953BE9" w:rsidP="00953BE9">
      <w:pPr>
        <w:spacing w:line="360" w:lineRule="auto"/>
        <w:ind w:firstLineChars="200" w:firstLine="480"/>
        <w:rPr>
          <w:rFonts w:ascii="宋体" w:hAnsi="宋体" w:cs="Arial"/>
          <w:bCs/>
          <w:sz w:val="24"/>
        </w:rPr>
      </w:pPr>
      <w:r w:rsidRPr="00953BE9">
        <w:rPr>
          <w:rFonts w:ascii="宋体" w:hAnsi="宋体" w:cs="Arial" w:hint="eastAsia"/>
          <w:bCs/>
          <w:sz w:val="24"/>
        </w:rPr>
        <w:t>可转换债券与可交换公司债券投资方面，兼具权益类证券与固定收益类证券的特性。本基金一方面将对发债主体的信用基本面进行深入挖掘以明确该可转换债券/可交换公司债券</w:t>
      </w:r>
      <w:proofErr w:type="gramStart"/>
      <w:r w:rsidRPr="00953BE9">
        <w:rPr>
          <w:rFonts w:ascii="宋体" w:hAnsi="宋体" w:cs="Arial" w:hint="eastAsia"/>
          <w:bCs/>
          <w:sz w:val="24"/>
        </w:rPr>
        <w:t>的债底保护</w:t>
      </w:r>
      <w:proofErr w:type="gramEnd"/>
      <w:r w:rsidRPr="00953BE9">
        <w:rPr>
          <w:rFonts w:ascii="宋体" w:hAnsi="宋体" w:cs="Arial" w:hint="eastAsia"/>
          <w:bCs/>
          <w:sz w:val="24"/>
        </w:rPr>
        <w:t>，防范信用风险，另一方面，还会进一步分析标的公司的盈利和成长能力以确定可转换债券/可交换公司债券中长期的上涨空间。本基金将借鉴信用债的基本面研究，从行业基本面、公司的行业地位、竞争优势、财务稳健性、盈利能力、治理结构等方面进行考察，精选财务稳健、信用违约风险小的可转换债券/可交换公司债券进行投资。本基金将在定量分析与主动研究相结合的基础上，结合可转换债券/可交换公司债券定价模型、交易价格以及其转股价值，对可转换债券/可交换公司债券是否转</w:t>
      </w:r>
      <w:proofErr w:type="gramStart"/>
      <w:r w:rsidRPr="00953BE9">
        <w:rPr>
          <w:rFonts w:ascii="宋体" w:hAnsi="宋体" w:cs="Arial" w:hint="eastAsia"/>
          <w:bCs/>
          <w:sz w:val="24"/>
        </w:rPr>
        <w:t>股制定</w:t>
      </w:r>
      <w:proofErr w:type="gramEnd"/>
      <w:r w:rsidRPr="00953BE9">
        <w:rPr>
          <w:rFonts w:ascii="宋体" w:hAnsi="宋体" w:cs="Arial" w:hint="eastAsia"/>
          <w:bCs/>
          <w:sz w:val="24"/>
        </w:rPr>
        <w:t>投资策略以及选择合适的转换时机。</w:t>
      </w:r>
    </w:p>
    <w:p w14:paraId="50C87C89" w14:textId="77777777" w:rsidR="00953BE9" w:rsidRPr="00953BE9" w:rsidRDefault="00953BE9" w:rsidP="00953BE9">
      <w:pPr>
        <w:spacing w:line="360" w:lineRule="auto"/>
        <w:ind w:firstLineChars="200" w:firstLine="480"/>
        <w:rPr>
          <w:rFonts w:ascii="宋体" w:hAnsi="宋体" w:cs="Arial"/>
          <w:bCs/>
          <w:sz w:val="24"/>
        </w:rPr>
      </w:pPr>
      <w:r w:rsidRPr="00953BE9">
        <w:rPr>
          <w:rFonts w:ascii="宋体" w:hAnsi="宋体" w:cs="Arial" w:hint="eastAsia"/>
          <w:bCs/>
          <w:sz w:val="24"/>
        </w:rPr>
        <w:t>4、资产支持证券投资策略</w:t>
      </w:r>
    </w:p>
    <w:p w14:paraId="365E81FD" w14:textId="77777777" w:rsidR="00953BE9" w:rsidRPr="00953BE9" w:rsidRDefault="00953BE9" w:rsidP="00953BE9">
      <w:pPr>
        <w:spacing w:line="360" w:lineRule="auto"/>
        <w:ind w:firstLineChars="200" w:firstLine="480"/>
        <w:rPr>
          <w:rFonts w:ascii="宋体" w:hAnsi="宋体" w:cs="Arial"/>
          <w:bCs/>
          <w:sz w:val="24"/>
        </w:rPr>
      </w:pPr>
      <w:r w:rsidRPr="00953BE9">
        <w:rPr>
          <w:rFonts w:ascii="宋体" w:hAnsi="宋体" w:cs="Arial" w:hint="eastAsia"/>
          <w:bCs/>
          <w:sz w:val="24"/>
        </w:rPr>
        <w:t>资产支持证券为本基金的辅助性投资工具，本基金将</w:t>
      </w:r>
      <w:proofErr w:type="gramStart"/>
      <w:r w:rsidRPr="00953BE9">
        <w:rPr>
          <w:rFonts w:ascii="宋体" w:hAnsi="宋体" w:cs="Arial" w:hint="eastAsia"/>
          <w:bCs/>
          <w:sz w:val="24"/>
        </w:rPr>
        <w:t>采用久期配置</w:t>
      </w:r>
      <w:proofErr w:type="gramEnd"/>
      <w:r w:rsidRPr="00953BE9">
        <w:rPr>
          <w:rFonts w:ascii="宋体" w:hAnsi="宋体" w:cs="Arial" w:hint="eastAsia"/>
          <w:bCs/>
          <w:sz w:val="24"/>
        </w:rPr>
        <w:t>策略与期限结构配置策略，结合定量分析和定性分析的方法，综合分析资产支持证券的利率风险、提前偿付风险、流动性风险、税收溢价等因素，选择具有较高投资价值的资产支持证券进行配置。</w:t>
      </w:r>
    </w:p>
    <w:p w14:paraId="62ADA82A" w14:textId="77777777" w:rsidR="00953BE9" w:rsidRPr="00953BE9" w:rsidRDefault="00953BE9" w:rsidP="00953BE9">
      <w:pPr>
        <w:spacing w:line="360" w:lineRule="auto"/>
        <w:ind w:firstLineChars="200" w:firstLine="480"/>
        <w:rPr>
          <w:rFonts w:ascii="宋体" w:hAnsi="宋体" w:cs="Arial"/>
          <w:bCs/>
          <w:sz w:val="24"/>
        </w:rPr>
      </w:pPr>
      <w:r w:rsidRPr="00953BE9">
        <w:rPr>
          <w:rFonts w:ascii="宋体" w:hAnsi="宋体" w:cs="Arial" w:hint="eastAsia"/>
          <w:bCs/>
          <w:sz w:val="24"/>
        </w:rPr>
        <w:t>5、衍生</w:t>
      </w:r>
      <w:proofErr w:type="gramStart"/>
      <w:r w:rsidRPr="00953BE9">
        <w:rPr>
          <w:rFonts w:ascii="宋体" w:hAnsi="宋体" w:cs="Arial" w:hint="eastAsia"/>
          <w:bCs/>
          <w:sz w:val="24"/>
        </w:rPr>
        <w:t>品投资</w:t>
      </w:r>
      <w:proofErr w:type="gramEnd"/>
      <w:r w:rsidRPr="00953BE9">
        <w:rPr>
          <w:rFonts w:ascii="宋体" w:hAnsi="宋体" w:cs="Arial" w:hint="eastAsia"/>
          <w:bCs/>
          <w:sz w:val="24"/>
        </w:rPr>
        <w:t>策略</w:t>
      </w:r>
    </w:p>
    <w:p w14:paraId="3B194A9F" w14:textId="77777777" w:rsidR="00953BE9" w:rsidRPr="00953BE9" w:rsidRDefault="00953BE9" w:rsidP="00953BE9">
      <w:pPr>
        <w:spacing w:line="360" w:lineRule="auto"/>
        <w:ind w:firstLineChars="200" w:firstLine="480"/>
        <w:rPr>
          <w:rFonts w:ascii="宋体" w:hAnsi="宋体" w:cs="Arial"/>
          <w:bCs/>
          <w:sz w:val="24"/>
        </w:rPr>
      </w:pPr>
      <w:r w:rsidRPr="00953BE9">
        <w:rPr>
          <w:rFonts w:ascii="宋体" w:hAnsi="宋体" w:cs="Arial" w:hint="eastAsia"/>
          <w:bCs/>
          <w:sz w:val="24"/>
        </w:rPr>
        <w:t>为更好地实现投资目标，基金还可以投资于股指期货、股票期权、国债期货。</w:t>
      </w:r>
    </w:p>
    <w:p w14:paraId="545076CC" w14:textId="77777777" w:rsidR="00953BE9" w:rsidRPr="00953BE9" w:rsidRDefault="00953BE9" w:rsidP="00953BE9">
      <w:pPr>
        <w:spacing w:line="360" w:lineRule="auto"/>
        <w:ind w:firstLineChars="200" w:firstLine="480"/>
        <w:rPr>
          <w:rFonts w:ascii="宋体" w:hAnsi="宋体" w:cs="Arial"/>
          <w:bCs/>
          <w:sz w:val="24"/>
        </w:rPr>
      </w:pPr>
      <w:r w:rsidRPr="00953BE9">
        <w:rPr>
          <w:rFonts w:ascii="宋体" w:hAnsi="宋体" w:cs="Arial" w:hint="eastAsia"/>
          <w:bCs/>
          <w:sz w:val="24"/>
        </w:rPr>
        <w:t>本基金将根据风险管理的原则，以套期保值为目的，参与股指期货的投资，以提高投资效率，控制基金投资组合风险水平，更好地实现本基金的投资目标。本基金管理人运用股指期货等金融衍生工具必须是出于追求基金充分投资、减少交易成本、降低跟踪误差的目的，不得应用于投机交易目的，或用作杠杆工具放大基金的投资。</w:t>
      </w:r>
    </w:p>
    <w:p w14:paraId="2DEA636D" w14:textId="77777777" w:rsidR="00953BE9" w:rsidRPr="00953BE9" w:rsidRDefault="00953BE9" w:rsidP="00953BE9">
      <w:pPr>
        <w:spacing w:line="360" w:lineRule="auto"/>
        <w:ind w:firstLineChars="200" w:firstLine="480"/>
        <w:rPr>
          <w:rFonts w:ascii="宋体" w:hAnsi="宋体" w:cs="Arial"/>
          <w:bCs/>
          <w:sz w:val="24"/>
        </w:rPr>
      </w:pPr>
      <w:r w:rsidRPr="00953BE9">
        <w:rPr>
          <w:rFonts w:ascii="宋体" w:hAnsi="宋体" w:cs="Arial" w:hint="eastAsia"/>
          <w:bCs/>
          <w:sz w:val="24"/>
        </w:rPr>
        <w:t>本基金投资股票期权，将根据风险管理的原则，以套期保值为主要目的，充分考虑股票期权的流动性和风险收益特征。</w:t>
      </w:r>
    </w:p>
    <w:p w14:paraId="13F514FB" w14:textId="77777777" w:rsidR="00953BE9" w:rsidRPr="00953BE9" w:rsidRDefault="00953BE9" w:rsidP="00953BE9">
      <w:pPr>
        <w:spacing w:line="360" w:lineRule="auto"/>
        <w:ind w:firstLineChars="200" w:firstLine="480"/>
        <w:rPr>
          <w:rFonts w:ascii="宋体" w:hAnsi="宋体" w:cs="Arial"/>
          <w:bCs/>
          <w:sz w:val="24"/>
        </w:rPr>
      </w:pPr>
      <w:r w:rsidRPr="00953BE9">
        <w:rPr>
          <w:rFonts w:ascii="宋体" w:hAnsi="宋体" w:cs="Arial" w:hint="eastAsia"/>
          <w:bCs/>
          <w:sz w:val="24"/>
        </w:rPr>
        <w:t>本基金参与国债期货交易，应当根据风险管理的原则，以套期保值为主要目的。基金管理人将充分考虑国债期货的流动性和风险收益特征，在风险可控的前提下，适度参与国债期货投资。</w:t>
      </w:r>
    </w:p>
    <w:p w14:paraId="3C32A67E" w14:textId="77777777" w:rsidR="00953BE9" w:rsidRPr="00953BE9" w:rsidRDefault="00953BE9" w:rsidP="00953BE9">
      <w:pPr>
        <w:spacing w:line="360" w:lineRule="auto"/>
        <w:ind w:firstLineChars="200" w:firstLine="480"/>
        <w:rPr>
          <w:rFonts w:ascii="宋体" w:hAnsi="宋体" w:cs="Arial"/>
          <w:bCs/>
          <w:sz w:val="24"/>
        </w:rPr>
      </w:pPr>
      <w:r w:rsidRPr="00953BE9">
        <w:rPr>
          <w:rFonts w:ascii="宋体" w:hAnsi="宋体" w:cs="Arial" w:hint="eastAsia"/>
          <w:bCs/>
          <w:sz w:val="24"/>
        </w:rPr>
        <w:lastRenderedPageBreak/>
        <w:t>6、参与融资及转融通证券出借业务策略</w:t>
      </w:r>
    </w:p>
    <w:p w14:paraId="7E2A0A49" w14:textId="77777777" w:rsidR="00953BE9" w:rsidRPr="00953BE9" w:rsidRDefault="00953BE9" w:rsidP="00953BE9">
      <w:pPr>
        <w:spacing w:line="360" w:lineRule="auto"/>
        <w:ind w:firstLineChars="200" w:firstLine="480"/>
        <w:rPr>
          <w:rFonts w:ascii="宋体" w:hAnsi="宋体" w:cs="Arial"/>
          <w:bCs/>
          <w:sz w:val="24"/>
        </w:rPr>
      </w:pPr>
      <w:r w:rsidRPr="00953BE9">
        <w:rPr>
          <w:rFonts w:ascii="宋体" w:hAnsi="宋体" w:cs="Arial" w:hint="eastAsia"/>
          <w:bCs/>
          <w:sz w:val="24"/>
        </w:rPr>
        <w:t>为更好地实现投资目标，在加强风险防范并遵守审慎原则的前提下，本基金可根据投资管理的需要参与融资及转融通证券出借业务。本基金将在分析市场情况、投资者类型与结构、本基金</w:t>
      </w:r>
      <w:proofErr w:type="gramStart"/>
      <w:r w:rsidRPr="00953BE9">
        <w:rPr>
          <w:rFonts w:ascii="宋体" w:hAnsi="宋体" w:cs="Arial" w:hint="eastAsia"/>
          <w:bCs/>
          <w:sz w:val="24"/>
        </w:rPr>
        <w:t>历史申赎数据</w:t>
      </w:r>
      <w:proofErr w:type="gramEnd"/>
      <w:r w:rsidRPr="00953BE9">
        <w:rPr>
          <w:rFonts w:ascii="宋体" w:hAnsi="宋体" w:cs="Arial" w:hint="eastAsia"/>
          <w:bCs/>
          <w:sz w:val="24"/>
        </w:rPr>
        <w:t>、出借证券流动性情况等因素，合理确定出借证券的范围、期限和比例。</w:t>
      </w:r>
      <w:proofErr w:type="gramStart"/>
      <w:r w:rsidRPr="00953BE9">
        <w:rPr>
          <w:rFonts w:ascii="宋体" w:hAnsi="宋体" w:cs="Arial" w:hint="eastAsia"/>
          <w:bCs/>
          <w:sz w:val="24"/>
        </w:rPr>
        <w:t>若相关</w:t>
      </w:r>
      <w:proofErr w:type="gramEnd"/>
      <w:r w:rsidRPr="00953BE9">
        <w:rPr>
          <w:rFonts w:ascii="宋体" w:hAnsi="宋体" w:cs="Arial" w:hint="eastAsia"/>
          <w:bCs/>
          <w:sz w:val="24"/>
        </w:rPr>
        <w:t>融资及转融通业务的法律法规发生变化，本基金将从其最新规定。</w:t>
      </w:r>
    </w:p>
    <w:p w14:paraId="18ED1062" w14:textId="2DD97C8B" w:rsidR="00953BE9" w:rsidRDefault="00953BE9" w:rsidP="00953BE9">
      <w:pPr>
        <w:spacing w:line="360" w:lineRule="auto"/>
        <w:ind w:firstLineChars="200" w:firstLine="480"/>
        <w:rPr>
          <w:rFonts w:ascii="宋体" w:hAnsi="宋体" w:cs="Arial"/>
          <w:bCs/>
          <w:sz w:val="24"/>
        </w:rPr>
      </w:pPr>
      <w:r w:rsidRPr="00953BE9">
        <w:rPr>
          <w:rFonts w:ascii="宋体" w:hAnsi="宋体" w:cs="Arial" w:hint="eastAsia"/>
          <w:bCs/>
          <w:sz w:val="24"/>
        </w:rPr>
        <w:t>7、随着证券市场投资工具的发展和丰富，基金管理人可在不改变投资目标的前提下，根据法律法规的有关规定，在履行适当程序</w:t>
      </w:r>
      <w:proofErr w:type="gramStart"/>
      <w:r w:rsidRPr="00953BE9">
        <w:rPr>
          <w:rFonts w:ascii="宋体" w:hAnsi="宋体" w:cs="Arial" w:hint="eastAsia"/>
          <w:bCs/>
          <w:sz w:val="24"/>
        </w:rPr>
        <w:t>后相应</w:t>
      </w:r>
      <w:proofErr w:type="gramEnd"/>
      <w:r w:rsidRPr="00953BE9">
        <w:rPr>
          <w:rFonts w:ascii="宋体" w:hAnsi="宋体" w:cs="Arial" w:hint="eastAsia"/>
          <w:bCs/>
          <w:sz w:val="24"/>
        </w:rPr>
        <w:t>调整或更新投资策略，并公告。</w:t>
      </w:r>
    </w:p>
    <w:p w14:paraId="2C1EFCE1" w14:textId="67412D9D" w:rsidR="00953BE9" w:rsidRPr="00953BE9" w:rsidRDefault="00953BE9" w:rsidP="00953BE9">
      <w:pPr>
        <w:spacing w:line="360" w:lineRule="auto"/>
        <w:ind w:firstLineChars="200" w:firstLine="480"/>
        <w:rPr>
          <w:rFonts w:ascii="宋体" w:hAnsi="宋体" w:cs="Arial"/>
          <w:bCs/>
          <w:sz w:val="24"/>
        </w:rPr>
      </w:pPr>
      <w:r>
        <w:rPr>
          <w:rFonts w:ascii="宋体" w:hAnsi="宋体" w:cs="Arial" w:hint="eastAsia"/>
          <w:bCs/>
          <w:sz w:val="24"/>
        </w:rPr>
        <w:t>（四）</w:t>
      </w:r>
      <w:r w:rsidR="005C44F4">
        <w:rPr>
          <w:rFonts w:ascii="宋体" w:hAnsi="宋体" w:cs="Arial"/>
          <w:bCs/>
          <w:sz w:val="24"/>
        </w:rPr>
        <w:t>标的指数</w:t>
      </w:r>
    </w:p>
    <w:p w14:paraId="576296C2" w14:textId="77777777" w:rsidR="00ED3844" w:rsidRPr="00ED3844" w:rsidRDefault="00ED3844" w:rsidP="00ED3844">
      <w:pPr>
        <w:spacing w:line="360" w:lineRule="auto"/>
        <w:ind w:firstLineChars="200" w:firstLine="480"/>
        <w:rPr>
          <w:rFonts w:ascii="宋体" w:hAnsi="宋体" w:cs="Arial"/>
          <w:bCs/>
          <w:sz w:val="24"/>
        </w:rPr>
      </w:pPr>
      <w:r w:rsidRPr="00ED3844">
        <w:rPr>
          <w:rFonts w:ascii="宋体" w:hAnsi="宋体" w:cs="Arial" w:hint="eastAsia"/>
          <w:bCs/>
          <w:sz w:val="24"/>
        </w:rPr>
        <w:t>本基金的标的指数为</w:t>
      </w:r>
      <w:proofErr w:type="gramStart"/>
      <w:r w:rsidRPr="00ED3844">
        <w:rPr>
          <w:rFonts w:ascii="宋体" w:hAnsi="宋体" w:cs="Arial" w:hint="eastAsia"/>
          <w:bCs/>
          <w:sz w:val="24"/>
        </w:rPr>
        <w:t>中证沪港</w:t>
      </w:r>
      <w:proofErr w:type="gramEnd"/>
      <w:r w:rsidRPr="00ED3844">
        <w:rPr>
          <w:rFonts w:ascii="宋体" w:hAnsi="宋体" w:cs="Arial" w:hint="eastAsia"/>
          <w:bCs/>
          <w:sz w:val="24"/>
        </w:rPr>
        <w:t>深</w:t>
      </w:r>
      <w:proofErr w:type="gramStart"/>
      <w:r w:rsidRPr="00ED3844">
        <w:rPr>
          <w:rFonts w:ascii="宋体" w:hAnsi="宋体" w:cs="Arial" w:hint="eastAsia"/>
          <w:bCs/>
          <w:sz w:val="24"/>
        </w:rPr>
        <w:t>云计算</w:t>
      </w:r>
      <w:proofErr w:type="gramEnd"/>
      <w:r w:rsidRPr="00ED3844">
        <w:rPr>
          <w:rFonts w:ascii="宋体" w:hAnsi="宋体" w:cs="Arial" w:hint="eastAsia"/>
          <w:bCs/>
          <w:sz w:val="24"/>
        </w:rPr>
        <w:t>产业指数。</w:t>
      </w:r>
    </w:p>
    <w:p w14:paraId="7C3E7F24" w14:textId="77777777" w:rsidR="00ED3844" w:rsidRPr="00ED3844" w:rsidRDefault="00ED3844" w:rsidP="00ED3844">
      <w:pPr>
        <w:spacing w:line="360" w:lineRule="auto"/>
        <w:ind w:firstLineChars="200" w:firstLine="480"/>
        <w:rPr>
          <w:rFonts w:ascii="宋体" w:hAnsi="宋体" w:cs="Arial"/>
          <w:bCs/>
          <w:sz w:val="24"/>
        </w:rPr>
      </w:pPr>
      <w:r w:rsidRPr="00ED3844">
        <w:rPr>
          <w:rFonts w:ascii="宋体" w:hAnsi="宋体" w:cs="Arial" w:hint="eastAsia"/>
          <w:bCs/>
          <w:sz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本基金合同终止。</w:t>
      </w:r>
    </w:p>
    <w:p w14:paraId="04A09326" w14:textId="77777777" w:rsidR="00ED3844" w:rsidRPr="00ED3844" w:rsidRDefault="00ED3844" w:rsidP="00ED3844">
      <w:pPr>
        <w:spacing w:line="360" w:lineRule="auto"/>
        <w:ind w:firstLineChars="200" w:firstLine="480"/>
        <w:rPr>
          <w:rFonts w:ascii="宋体" w:hAnsi="宋体" w:cs="Arial"/>
          <w:bCs/>
          <w:sz w:val="24"/>
        </w:rPr>
      </w:pPr>
      <w:proofErr w:type="gramStart"/>
      <w:r w:rsidRPr="00ED3844">
        <w:rPr>
          <w:rFonts w:ascii="宋体" w:hAnsi="宋体" w:cs="Arial" w:hint="eastAsia"/>
          <w:bCs/>
          <w:sz w:val="24"/>
        </w:rPr>
        <w:t>自指数</w:t>
      </w:r>
      <w:proofErr w:type="gramEnd"/>
      <w:r w:rsidRPr="00ED3844">
        <w:rPr>
          <w:rFonts w:ascii="宋体" w:hAnsi="宋体" w:cs="Arial" w:hint="eastAsia"/>
          <w:bCs/>
          <w:sz w:val="24"/>
        </w:rPr>
        <w:t>编制机构停止标的指数的编制及发布</w:t>
      </w:r>
      <w:proofErr w:type="gramStart"/>
      <w:r w:rsidRPr="00ED3844">
        <w:rPr>
          <w:rFonts w:ascii="宋体" w:hAnsi="宋体" w:cs="Arial" w:hint="eastAsia"/>
          <w:bCs/>
          <w:sz w:val="24"/>
        </w:rPr>
        <w:t>至解决</w:t>
      </w:r>
      <w:proofErr w:type="gramEnd"/>
      <w:r w:rsidRPr="00ED3844">
        <w:rPr>
          <w:rFonts w:ascii="宋体" w:hAnsi="宋体" w:cs="Arial" w:hint="eastAsia"/>
          <w:bCs/>
          <w:sz w:val="24"/>
        </w:rPr>
        <w:t>方案确定期间，基金管理人应按照指数编制机构提供的最近一个交易日的指数信息遵循基金份额持有人利益优先原则维持基金投资运作。</w:t>
      </w:r>
    </w:p>
    <w:p w14:paraId="1F39D114" w14:textId="77777777" w:rsidR="00ED3844" w:rsidRPr="00ED3844" w:rsidRDefault="00ED3844" w:rsidP="00ED3844">
      <w:pPr>
        <w:spacing w:line="360" w:lineRule="auto"/>
        <w:ind w:firstLineChars="200" w:firstLine="480"/>
        <w:rPr>
          <w:rFonts w:ascii="宋体" w:hAnsi="宋体" w:cs="Arial"/>
          <w:bCs/>
          <w:sz w:val="24"/>
        </w:rPr>
      </w:pPr>
      <w:r w:rsidRPr="00ED3844">
        <w:rPr>
          <w:rFonts w:ascii="宋体" w:hAnsi="宋体" w:cs="Arial" w:hint="eastAsia"/>
          <w:bCs/>
          <w:sz w:val="24"/>
        </w:rPr>
        <w:t>尽管有前述约定，但若出现指数更名等对基金投资及基金份额持有人无实质性影响的标的指数变更情形，则无需召开基金份额持有人大会，基金管理人与基金托管人协商一致后变更并在规定媒介上公告。</w:t>
      </w:r>
    </w:p>
    <w:p w14:paraId="0816AF8E" w14:textId="1B271027" w:rsidR="00ED3844" w:rsidRPr="00ED3844" w:rsidRDefault="00ED3844" w:rsidP="00ED3844">
      <w:pPr>
        <w:spacing w:line="360" w:lineRule="auto"/>
        <w:ind w:firstLineChars="200" w:firstLine="480"/>
        <w:rPr>
          <w:rFonts w:ascii="宋体" w:hAnsi="宋体" w:cs="Arial"/>
          <w:bCs/>
          <w:sz w:val="24"/>
        </w:rPr>
      </w:pPr>
      <w:r>
        <w:rPr>
          <w:rFonts w:ascii="宋体" w:hAnsi="宋体" w:cs="Arial" w:hint="eastAsia"/>
          <w:bCs/>
          <w:sz w:val="24"/>
        </w:rPr>
        <w:t>（五）</w:t>
      </w:r>
      <w:r w:rsidRPr="00ED3844">
        <w:rPr>
          <w:rFonts w:ascii="宋体" w:hAnsi="宋体" w:cs="Arial" w:hint="eastAsia"/>
          <w:bCs/>
          <w:sz w:val="24"/>
        </w:rPr>
        <w:t>业绩比较基准</w:t>
      </w:r>
    </w:p>
    <w:p w14:paraId="69599268" w14:textId="77777777" w:rsidR="00ED3844" w:rsidRPr="00ED3844" w:rsidRDefault="00ED3844" w:rsidP="00ED3844">
      <w:pPr>
        <w:spacing w:line="360" w:lineRule="auto"/>
        <w:ind w:firstLineChars="200" w:firstLine="480"/>
        <w:rPr>
          <w:rFonts w:ascii="宋体" w:hAnsi="宋体" w:cs="Arial"/>
          <w:bCs/>
          <w:sz w:val="24"/>
        </w:rPr>
      </w:pPr>
      <w:r w:rsidRPr="00ED3844">
        <w:rPr>
          <w:rFonts w:ascii="宋体" w:hAnsi="宋体" w:cs="Arial" w:hint="eastAsia"/>
          <w:bCs/>
          <w:sz w:val="24"/>
        </w:rPr>
        <w:t>本基金业绩比较基准为标的指数收益率，即</w:t>
      </w:r>
      <w:proofErr w:type="gramStart"/>
      <w:r w:rsidRPr="00ED3844">
        <w:rPr>
          <w:rFonts w:ascii="宋体" w:hAnsi="宋体" w:cs="Arial" w:hint="eastAsia"/>
          <w:bCs/>
          <w:sz w:val="24"/>
        </w:rPr>
        <w:t>中证沪港</w:t>
      </w:r>
      <w:proofErr w:type="gramEnd"/>
      <w:r w:rsidRPr="00ED3844">
        <w:rPr>
          <w:rFonts w:ascii="宋体" w:hAnsi="宋体" w:cs="Arial" w:hint="eastAsia"/>
          <w:bCs/>
          <w:sz w:val="24"/>
        </w:rPr>
        <w:t>深</w:t>
      </w:r>
      <w:proofErr w:type="gramStart"/>
      <w:r w:rsidRPr="00ED3844">
        <w:rPr>
          <w:rFonts w:ascii="宋体" w:hAnsi="宋体" w:cs="Arial" w:hint="eastAsia"/>
          <w:bCs/>
          <w:sz w:val="24"/>
        </w:rPr>
        <w:t>云计算</w:t>
      </w:r>
      <w:proofErr w:type="gramEnd"/>
      <w:r w:rsidRPr="00ED3844">
        <w:rPr>
          <w:rFonts w:ascii="宋体" w:hAnsi="宋体" w:cs="Arial" w:hint="eastAsia"/>
          <w:bCs/>
          <w:sz w:val="24"/>
        </w:rPr>
        <w:t>产业指数（人民币）收益率。</w:t>
      </w:r>
    </w:p>
    <w:p w14:paraId="2C5285FC" w14:textId="77777777" w:rsidR="00ED3844" w:rsidRPr="00ED3844" w:rsidRDefault="00ED3844" w:rsidP="00ED3844">
      <w:pPr>
        <w:spacing w:line="360" w:lineRule="auto"/>
        <w:ind w:firstLineChars="200" w:firstLine="480"/>
        <w:rPr>
          <w:rFonts w:ascii="宋体" w:hAnsi="宋体" w:cs="Arial"/>
          <w:bCs/>
          <w:sz w:val="24"/>
        </w:rPr>
      </w:pPr>
      <w:r w:rsidRPr="00ED3844">
        <w:rPr>
          <w:rFonts w:ascii="宋体" w:hAnsi="宋体" w:cs="Arial" w:hint="eastAsia"/>
          <w:bCs/>
          <w:sz w:val="24"/>
        </w:rPr>
        <w:t>1、业绩比较基准的设定原因</w:t>
      </w:r>
    </w:p>
    <w:p w14:paraId="74EAE518" w14:textId="77777777" w:rsidR="00ED3844" w:rsidRPr="00ED3844" w:rsidRDefault="00ED3844" w:rsidP="00ED3844">
      <w:pPr>
        <w:spacing w:line="360" w:lineRule="auto"/>
        <w:ind w:firstLineChars="200" w:firstLine="480"/>
        <w:rPr>
          <w:rFonts w:ascii="宋体" w:hAnsi="宋体" w:cs="Arial"/>
          <w:bCs/>
          <w:sz w:val="24"/>
        </w:rPr>
      </w:pPr>
      <w:r w:rsidRPr="00ED3844">
        <w:rPr>
          <w:rFonts w:ascii="宋体" w:hAnsi="宋体" w:cs="Arial" w:hint="eastAsia"/>
          <w:bCs/>
          <w:sz w:val="24"/>
        </w:rPr>
        <w:t>本基金紧密跟踪标的指数，追求跟踪偏离度和跟踪误差的最小化。本基金的标的指数为</w:t>
      </w:r>
      <w:proofErr w:type="gramStart"/>
      <w:r w:rsidRPr="00ED3844">
        <w:rPr>
          <w:rFonts w:ascii="宋体" w:hAnsi="宋体" w:cs="Arial" w:hint="eastAsia"/>
          <w:bCs/>
          <w:sz w:val="24"/>
        </w:rPr>
        <w:t>中证沪港</w:t>
      </w:r>
      <w:proofErr w:type="gramEnd"/>
      <w:r w:rsidRPr="00ED3844">
        <w:rPr>
          <w:rFonts w:ascii="宋体" w:hAnsi="宋体" w:cs="Arial" w:hint="eastAsia"/>
          <w:bCs/>
          <w:sz w:val="24"/>
        </w:rPr>
        <w:t>深</w:t>
      </w:r>
      <w:proofErr w:type="gramStart"/>
      <w:r w:rsidRPr="00ED3844">
        <w:rPr>
          <w:rFonts w:ascii="宋体" w:hAnsi="宋体" w:cs="Arial" w:hint="eastAsia"/>
          <w:bCs/>
          <w:sz w:val="24"/>
        </w:rPr>
        <w:t>云计算</w:t>
      </w:r>
      <w:proofErr w:type="gramEnd"/>
      <w:r w:rsidRPr="00ED3844">
        <w:rPr>
          <w:rFonts w:ascii="宋体" w:hAnsi="宋体" w:cs="Arial" w:hint="eastAsia"/>
          <w:bCs/>
          <w:sz w:val="24"/>
        </w:rPr>
        <w:t>产业指数，相应选取</w:t>
      </w:r>
      <w:proofErr w:type="gramStart"/>
      <w:r w:rsidRPr="00ED3844">
        <w:rPr>
          <w:rFonts w:ascii="宋体" w:hAnsi="宋体" w:cs="Arial" w:hint="eastAsia"/>
          <w:bCs/>
          <w:sz w:val="24"/>
        </w:rPr>
        <w:t>中证沪港</w:t>
      </w:r>
      <w:proofErr w:type="gramEnd"/>
      <w:r w:rsidRPr="00ED3844">
        <w:rPr>
          <w:rFonts w:ascii="宋体" w:hAnsi="宋体" w:cs="Arial" w:hint="eastAsia"/>
          <w:bCs/>
          <w:sz w:val="24"/>
        </w:rPr>
        <w:t>深</w:t>
      </w:r>
      <w:proofErr w:type="gramStart"/>
      <w:r w:rsidRPr="00ED3844">
        <w:rPr>
          <w:rFonts w:ascii="宋体" w:hAnsi="宋体" w:cs="Arial" w:hint="eastAsia"/>
          <w:bCs/>
          <w:sz w:val="24"/>
        </w:rPr>
        <w:t>云计算</w:t>
      </w:r>
      <w:proofErr w:type="gramEnd"/>
      <w:r w:rsidRPr="00ED3844">
        <w:rPr>
          <w:rFonts w:ascii="宋体" w:hAnsi="宋体" w:cs="Arial" w:hint="eastAsia"/>
          <w:bCs/>
          <w:sz w:val="24"/>
        </w:rPr>
        <w:t>产业指</w:t>
      </w:r>
      <w:r w:rsidRPr="00ED3844">
        <w:rPr>
          <w:rFonts w:ascii="宋体" w:hAnsi="宋体" w:cs="Arial" w:hint="eastAsia"/>
          <w:bCs/>
          <w:sz w:val="24"/>
        </w:rPr>
        <w:lastRenderedPageBreak/>
        <w:t>数作为基准要素。</w:t>
      </w:r>
    </w:p>
    <w:p w14:paraId="7263ADAC" w14:textId="77777777" w:rsidR="00ED3844" w:rsidRPr="00ED3844" w:rsidRDefault="00ED3844" w:rsidP="00ED3844">
      <w:pPr>
        <w:spacing w:line="360" w:lineRule="auto"/>
        <w:ind w:firstLineChars="200" w:firstLine="480"/>
        <w:rPr>
          <w:rFonts w:ascii="宋体" w:hAnsi="宋体" w:cs="Arial"/>
          <w:bCs/>
          <w:sz w:val="24"/>
        </w:rPr>
      </w:pPr>
      <w:r w:rsidRPr="00ED3844">
        <w:rPr>
          <w:rFonts w:ascii="宋体" w:hAnsi="宋体" w:cs="Arial" w:hint="eastAsia"/>
          <w:bCs/>
          <w:sz w:val="24"/>
        </w:rPr>
        <w:t>综上，本基金选取的业绩比较基准与基金投资目标、投资范围、投资策略、投资比例限制相匹配。</w:t>
      </w:r>
    </w:p>
    <w:p w14:paraId="750A854F" w14:textId="77777777" w:rsidR="00ED3844" w:rsidRPr="00ED3844" w:rsidRDefault="00ED3844" w:rsidP="00ED3844">
      <w:pPr>
        <w:spacing w:line="360" w:lineRule="auto"/>
        <w:ind w:firstLineChars="200" w:firstLine="480"/>
        <w:rPr>
          <w:rFonts w:ascii="宋体" w:hAnsi="宋体" w:cs="Arial"/>
          <w:bCs/>
          <w:sz w:val="24"/>
        </w:rPr>
      </w:pPr>
      <w:r w:rsidRPr="00ED3844">
        <w:rPr>
          <w:rFonts w:ascii="宋体" w:hAnsi="宋体" w:cs="Arial" w:hint="eastAsia"/>
          <w:bCs/>
          <w:sz w:val="24"/>
        </w:rPr>
        <w:t>2、业绩比较基准要素的基本信息</w:t>
      </w:r>
    </w:p>
    <w:p w14:paraId="2FA92235" w14:textId="77777777" w:rsidR="00ED3844" w:rsidRPr="00ED3844" w:rsidRDefault="00ED3844" w:rsidP="00ED3844">
      <w:pPr>
        <w:spacing w:line="360" w:lineRule="auto"/>
        <w:ind w:firstLineChars="200" w:firstLine="480"/>
        <w:rPr>
          <w:rFonts w:ascii="宋体" w:hAnsi="宋体" w:cs="Arial"/>
          <w:bCs/>
          <w:sz w:val="24"/>
        </w:rPr>
      </w:pPr>
      <w:r w:rsidRPr="00ED3844">
        <w:rPr>
          <w:rFonts w:ascii="宋体" w:hAnsi="宋体" w:cs="Arial" w:hint="eastAsia"/>
          <w:bCs/>
          <w:sz w:val="24"/>
        </w:rPr>
        <w:t>业绩比较基准要素所涉及的发布机构、代码、查询途径等信息详见本基金招募说明书及其更新。</w:t>
      </w:r>
    </w:p>
    <w:p w14:paraId="0692247F" w14:textId="77777777" w:rsidR="00ED3844" w:rsidRPr="00ED3844" w:rsidRDefault="00ED3844" w:rsidP="00ED3844">
      <w:pPr>
        <w:spacing w:line="360" w:lineRule="auto"/>
        <w:ind w:firstLineChars="200" w:firstLine="480"/>
        <w:rPr>
          <w:rFonts w:ascii="宋体" w:hAnsi="宋体" w:cs="Arial"/>
          <w:bCs/>
          <w:sz w:val="24"/>
        </w:rPr>
      </w:pPr>
      <w:r w:rsidRPr="00ED3844">
        <w:rPr>
          <w:rFonts w:ascii="宋体" w:hAnsi="宋体" w:cs="Arial" w:hint="eastAsia"/>
          <w:bCs/>
          <w:sz w:val="24"/>
        </w:rPr>
        <w:t>3、业绩比较基准的计算方法</w:t>
      </w:r>
    </w:p>
    <w:p w14:paraId="2F8EDC6D" w14:textId="77777777" w:rsidR="00ED3844" w:rsidRPr="00ED3844" w:rsidRDefault="00ED3844" w:rsidP="00ED3844">
      <w:pPr>
        <w:spacing w:line="360" w:lineRule="auto"/>
        <w:ind w:firstLineChars="200" w:firstLine="480"/>
        <w:rPr>
          <w:rFonts w:ascii="宋体" w:hAnsi="宋体" w:cs="Arial"/>
          <w:bCs/>
          <w:sz w:val="24"/>
        </w:rPr>
      </w:pPr>
      <w:r w:rsidRPr="00ED3844">
        <w:rPr>
          <w:rFonts w:ascii="宋体" w:hAnsi="宋体" w:cs="Arial" w:hint="eastAsia"/>
          <w:bCs/>
          <w:sz w:val="24"/>
        </w:rPr>
        <w:t>本基金业绩比较基准收益率的计算方法以每日收益率为基础，以时间加权为计算原则。</w:t>
      </w:r>
    </w:p>
    <w:p w14:paraId="16AB1598" w14:textId="77777777" w:rsidR="00ED3844" w:rsidRPr="00ED3844" w:rsidRDefault="00ED3844" w:rsidP="00ED3844">
      <w:pPr>
        <w:spacing w:line="360" w:lineRule="auto"/>
        <w:ind w:firstLineChars="200" w:firstLine="480"/>
        <w:rPr>
          <w:rFonts w:ascii="宋体" w:hAnsi="宋体" w:cs="Arial"/>
          <w:bCs/>
          <w:sz w:val="24"/>
        </w:rPr>
      </w:pPr>
      <w:r w:rsidRPr="00ED3844">
        <w:rPr>
          <w:rFonts w:ascii="宋体" w:hAnsi="宋体" w:cs="Arial" w:hint="eastAsia"/>
          <w:bCs/>
          <w:sz w:val="24"/>
        </w:rPr>
        <w:t>法律法规、监管机关、登记机构、证券交易所另有规定的，从其规定。</w:t>
      </w:r>
    </w:p>
    <w:p w14:paraId="77172937" w14:textId="5ACFE832" w:rsidR="00A1296F" w:rsidRPr="00A1296F" w:rsidRDefault="00ED3844" w:rsidP="00A1296F">
      <w:pPr>
        <w:spacing w:line="360" w:lineRule="auto"/>
        <w:ind w:firstLineChars="200" w:firstLine="480"/>
        <w:rPr>
          <w:rFonts w:ascii="宋体" w:hAnsi="宋体" w:cs="Arial"/>
          <w:bCs/>
          <w:sz w:val="24"/>
        </w:rPr>
      </w:pPr>
      <w:r w:rsidRPr="00ED3844">
        <w:rPr>
          <w:rFonts w:ascii="宋体" w:hAnsi="宋体" w:cs="Arial" w:hint="eastAsia"/>
          <w:bCs/>
          <w:sz w:val="24"/>
        </w:rPr>
        <w:t>4、</w:t>
      </w:r>
      <w:r w:rsidR="00A1296F" w:rsidRPr="00A1296F">
        <w:rPr>
          <w:rFonts w:ascii="宋体" w:hAnsi="宋体" w:cs="Arial" w:hint="eastAsia"/>
          <w:bCs/>
          <w:sz w:val="24"/>
        </w:rPr>
        <w:t>基金管理人管理投资偏离业绩比较基准的定性或定量方法</w:t>
      </w:r>
    </w:p>
    <w:p w14:paraId="048A8458" w14:textId="51DE6456" w:rsidR="00ED3844" w:rsidRPr="00ED3844" w:rsidRDefault="00A1296F" w:rsidP="00A1296F">
      <w:pPr>
        <w:spacing w:line="360" w:lineRule="auto"/>
        <w:ind w:firstLineChars="200" w:firstLine="480"/>
        <w:rPr>
          <w:rFonts w:ascii="宋体" w:hAnsi="宋体" w:cs="Arial"/>
          <w:bCs/>
          <w:sz w:val="24"/>
        </w:rPr>
      </w:pPr>
      <w:r w:rsidRPr="00A1296F">
        <w:rPr>
          <w:rFonts w:ascii="宋体" w:hAnsi="宋体" w:cs="Arial" w:hint="eastAsia"/>
          <w:bCs/>
          <w:sz w:val="24"/>
        </w:rPr>
        <w:t>本基金主要采用完全复制法，即按照标的指数成份股及其权重构建基金的股票投资组合，并根据标的指数成份股及其权重的变动对股票投资组合进行相应地调整。在因特殊情形导致基金无法完全投资于标的指数成份股时，本基金可采取包括成份股替代策略在内的其他指数投资技术适当调整基金投资组合，以达到紧密跟踪标的指数的目的。本基金力争将日均跟踪偏离度的绝对值控制在0.35%以内，</w:t>
      </w:r>
      <w:proofErr w:type="gramStart"/>
      <w:r w:rsidRPr="00A1296F">
        <w:rPr>
          <w:rFonts w:ascii="宋体" w:hAnsi="宋体" w:cs="Arial" w:hint="eastAsia"/>
          <w:bCs/>
          <w:sz w:val="24"/>
        </w:rPr>
        <w:t>年化跟踪误差</w:t>
      </w:r>
      <w:proofErr w:type="gramEnd"/>
      <w:r w:rsidRPr="00A1296F">
        <w:rPr>
          <w:rFonts w:ascii="宋体" w:hAnsi="宋体" w:cs="Arial" w:hint="eastAsia"/>
          <w:bCs/>
          <w:sz w:val="24"/>
        </w:rPr>
        <w:t>控制在4%以内。如因标的指数编制规则调整或其他因素导</w:t>
      </w:r>
      <w:r w:rsidR="000B3F6F">
        <w:rPr>
          <w:rFonts w:ascii="宋体" w:hAnsi="宋体" w:cs="Arial" w:hint="eastAsia"/>
          <w:bCs/>
          <w:sz w:val="24"/>
        </w:rPr>
        <w:t>致跟踪误差超过上述范围的，本基金将采取合理措施避免跟踪误差过大</w:t>
      </w:r>
      <w:r w:rsidR="00ED3844" w:rsidRPr="00ED3844">
        <w:rPr>
          <w:rFonts w:ascii="宋体" w:hAnsi="宋体" w:cs="Arial" w:hint="eastAsia"/>
          <w:bCs/>
          <w:sz w:val="24"/>
        </w:rPr>
        <w:t>。</w:t>
      </w:r>
    </w:p>
    <w:p w14:paraId="5103D4F9" w14:textId="77777777" w:rsidR="00ED3844" w:rsidRPr="00ED3844" w:rsidRDefault="00ED3844" w:rsidP="00ED3844">
      <w:pPr>
        <w:spacing w:line="360" w:lineRule="auto"/>
        <w:ind w:firstLineChars="200" w:firstLine="480"/>
        <w:rPr>
          <w:rFonts w:ascii="宋体" w:hAnsi="宋体" w:cs="Arial"/>
          <w:bCs/>
          <w:sz w:val="24"/>
        </w:rPr>
      </w:pPr>
      <w:r w:rsidRPr="00ED3844">
        <w:rPr>
          <w:rFonts w:ascii="宋体" w:hAnsi="宋体" w:cs="Arial" w:hint="eastAsia"/>
          <w:bCs/>
          <w:sz w:val="24"/>
        </w:rPr>
        <w:t>5、未来可能变更业绩比较基准的情况和程序</w:t>
      </w:r>
    </w:p>
    <w:p w14:paraId="1B0E265B" w14:textId="591DED7F" w:rsidR="00ED3844" w:rsidRPr="00ED3844" w:rsidRDefault="00ED3844" w:rsidP="00ED3844">
      <w:pPr>
        <w:spacing w:line="360" w:lineRule="auto"/>
        <w:ind w:firstLineChars="200" w:firstLine="480"/>
        <w:rPr>
          <w:rFonts w:ascii="宋体" w:hAnsi="宋体" w:cs="Arial"/>
          <w:bCs/>
          <w:sz w:val="24"/>
        </w:rPr>
      </w:pPr>
      <w:r w:rsidRPr="00ED3844">
        <w:rPr>
          <w:rFonts w:ascii="宋体" w:hAnsi="宋体" w:cs="Arial" w:hint="eastAsia"/>
          <w:bCs/>
          <w:sz w:val="24"/>
        </w:rPr>
        <w:t>本基金的业绩比较基准的要素与标的指数一致，相关变更情形和程序详见本章“</w:t>
      </w:r>
      <w:r>
        <w:rPr>
          <w:rFonts w:ascii="宋体" w:hAnsi="宋体" w:cs="Arial" w:hint="eastAsia"/>
          <w:bCs/>
          <w:sz w:val="24"/>
        </w:rPr>
        <w:t>（四）</w:t>
      </w:r>
      <w:r w:rsidRPr="00ED3844">
        <w:rPr>
          <w:rFonts w:ascii="宋体" w:hAnsi="宋体" w:cs="Arial" w:hint="eastAsia"/>
          <w:bCs/>
          <w:sz w:val="24"/>
        </w:rPr>
        <w:t>标的指数”部分内容。</w:t>
      </w:r>
    </w:p>
    <w:p w14:paraId="218FB3D7" w14:textId="75DBA664" w:rsidR="00C52815" w:rsidRDefault="00ED3844" w:rsidP="00953BE9">
      <w:pPr>
        <w:spacing w:line="360" w:lineRule="auto"/>
        <w:ind w:firstLineChars="200" w:firstLine="480"/>
        <w:rPr>
          <w:rFonts w:ascii="宋体" w:hAnsi="宋体" w:cs="Arial"/>
          <w:bCs/>
          <w:sz w:val="24"/>
        </w:rPr>
      </w:pPr>
      <w:r w:rsidRPr="00ED3844">
        <w:rPr>
          <w:rFonts w:ascii="宋体" w:hAnsi="宋体" w:cs="Arial" w:hint="eastAsia"/>
          <w:bCs/>
          <w:sz w:val="24"/>
        </w:rPr>
        <w:t>若本基金调整业绩比较基准的要素权重，本</w:t>
      </w:r>
      <w:r>
        <w:rPr>
          <w:rFonts w:ascii="宋体" w:hAnsi="宋体" w:cs="Arial" w:hint="eastAsia"/>
          <w:bCs/>
          <w:sz w:val="24"/>
        </w:rPr>
        <w:t>基金将根据法律法规、中国证监会的规定和基金合同约定履行相关程序</w:t>
      </w:r>
      <w:r w:rsidR="00953BE9" w:rsidRPr="00953BE9">
        <w:rPr>
          <w:rFonts w:ascii="宋体" w:hAnsi="宋体" w:cs="Arial" w:hint="eastAsia"/>
          <w:bCs/>
          <w:sz w:val="24"/>
        </w:rPr>
        <w:t>。</w:t>
      </w:r>
    </w:p>
    <w:p w14:paraId="039486A9" w14:textId="068B3A5A" w:rsidR="00953BE9" w:rsidRPr="00953BE9" w:rsidRDefault="005C44F4" w:rsidP="00953BE9">
      <w:pPr>
        <w:spacing w:line="360" w:lineRule="auto"/>
        <w:ind w:firstLineChars="200" w:firstLine="480"/>
        <w:rPr>
          <w:rFonts w:ascii="宋体" w:hAnsi="宋体" w:cs="Arial"/>
          <w:bCs/>
          <w:sz w:val="24"/>
        </w:rPr>
      </w:pPr>
      <w:r>
        <w:rPr>
          <w:rFonts w:ascii="宋体" w:hAnsi="宋体" w:cs="Arial"/>
          <w:bCs/>
          <w:sz w:val="24"/>
        </w:rPr>
        <w:t>（</w:t>
      </w:r>
      <w:r w:rsidR="00953BE9">
        <w:rPr>
          <w:rFonts w:ascii="宋体" w:hAnsi="宋体" w:cs="Arial" w:hint="eastAsia"/>
          <w:bCs/>
          <w:sz w:val="24"/>
        </w:rPr>
        <w:t>六</w:t>
      </w:r>
      <w:r>
        <w:rPr>
          <w:rFonts w:ascii="宋体" w:hAnsi="宋体" w:cs="Arial"/>
          <w:bCs/>
          <w:sz w:val="24"/>
        </w:rPr>
        <w:t>）</w:t>
      </w:r>
      <w:r w:rsidR="00953BE9" w:rsidRPr="00953BE9">
        <w:rPr>
          <w:rFonts w:ascii="宋体" w:hAnsi="宋体" w:cs="Arial" w:hint="eastAsia"/>
          <w:bCs/>
          <w:sz w:val="24"/>
        </w:rPr>
        <w:t>风险收益特征</w:t>
      </w:r>
    </w:p>
    <w:p w14:paraId="73FEB804" w14:textId="77777777" w:rsidR="00953BE9" w:rsidRPr="00953BE9" w:rsidRDefault="00953BE9" w:rsidP="00953BE9">
      <w:pPr>
        <w:spacing w:line="360" w:lineRule="auto"/>
        <w:ind w:firstLineChars="200" w:firstLine="480"/>
        <w:rPr>
          <w:rFonts w:ascii="宋体" w:hAnsi="宋体" w:cs="Arial"/>
          <w:bCs/>
          <w:sz w:val="24"/>
        </w:rPr>
      </w:pPr>
      <w:r w:rsidRPr="00953BE9">
        <w:rPr>
          <w:rFonts w:ascii="宋体" w:hAnsi="宋体" w:cs="Arial" w:hint="eastAsia"/>
          <w:bCs/>
          <w:sz w:val="24"/>
        </w:rPr>
        <w:t>本基金属于股票型基金，其预期收益及预期风险水平高于混合型基金、债券型基金与货币市场基金。本基金为被动式投资的股票</w:t>
      </w:r>
      <w:proofErr w:type="gramStart"/>
      <w:r w:rsidRPr="00953BE9">
        <w:rPr>
          <w:rFonts w:ascii="宋体" w:hAnsi="宋体" w:cs="Arial" w:hint="eastAsia"/>
          <w:bCs/>
          <w:sz w:val="24"/>
        </w:rPr>
        <w:t>型指数</w:t>
      </w:r>
      <w:proofErr w:type="gramEnd"/>
      <w:r w:rsidRPr="00953BE9">
        <w:rPr>
          <w:rFonts w:ascii="宋体" w:hAnsi="宋体" w:cs="Arial" w:hint="eastAsia"/>
          <w:bCs/>
          <w:sz w:val="24"/>
        </w:rPr>
        <w:t>基金，跟踪标的指数，其风险收益特征与标的指数所表征的市场组合的风险收益特征相似。</w:t>
      </w:r>
    </w:p>
    <w:p w14:paraId="2762AE1B" w14:textId="0DE65B41" w:rsidR="00953BE9" w:rsidRDefault="00953BE9" w:rsidP="00953BE9">
      <w:pPr>
        <w:spacing w:line="360" w:lineRule="auto"/>
        <w:ind w:firstLineChars="200" w:firstLine="480"/>
        <w:rPr>
          <w:rFonts w:ascii="宋体" w:hAnsi="宋体" w:cs="Arial"/>
          <w:bCs/>
          <w:sz w:val="24"/>
        </w:rPr>
      </w:pPr>
      <w:r w:rsidRPr="00953BE9">
        <w:rPr>
          <w:rFonts w:ascii="宋体" w:hAnsi="宋体" w:cs="Arial" w:hint="eastAsia"/>
          <w:bCs/>
          <w:sz w:val="24"/>
        </w:rPr>
        <w:t>本基金通过内地与香港股票市场交易互联互通机制投资于香港证券市场，</w:t>
      </w:r>
      <w:r w:rsidRPr="00953BE9">
        <w:rPr>
          <w:rFonts w:ascii="宋体" w:hAnsi="宋体" w:cs="Arial" w:hint="eastAsia"/>
          <w:bCs/>
          <w:sz w:val="24"/>
        </w:rPr>
        <w:lastRenderedPageBreak/>
        <w:t>除了需要承担市场波动风险等一般投资风险之外，本基金还面临汇率风险、投资于香港证券市场的风险、通过内地与香港股票市场交易互联互通机制投资的风险等特有风险。</w:t>
      </w:r>
    </w:p>
    <w:p w14:paraId="20F2F4FB" w14:textId="6EDAA69A" w:rsidR="00C52815" w:rsidRDefault="00953BE9">
      <w:pPr>
        <w:spacing w:line="360" w:lineRule="auto"/>
        <w:ind w:firstLineChars="200" w:firstLine="480"/>
        <w:rPr>
          <w:rFonts w:ascii="宋体" w:hAnsi="宋体" w:cs="Arial"/>
          <w:bCs/>
          <w:sz w:val="24"/>
        </w:rPr>
      </w:pPr>
      <w:r>
        <w:rPr>
          <w:rFonts w:ascii="宋体" w:hAnsi="宋体" w:cs="Arial" w:hint="eastAsia"/>
          <w:bCs/>
          <w:sz w:val="24"/>
        </w:rPr>
        <w:t>（七）</w:t>
      </w:r>
      <w:r w:rsidR="005C44F4">
        <w:rPr>
          <w:rFonts w:ascii="宋体" w:hAnsi="宋体" w:cs="Arial"/>
          <w:bCs/>
          <w:sz w:val="24"/>
        </w:rPr>
        <w:t>投资限制</w:t>
      </w:r>
    </w:p>
    <w:p w14:paraId="23AD0BA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1、组合限制</w:t>
      </w:r>
    </w:p>
    <w:p w14:paraId="40A5415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基金的投资组合应遵循以下限制：</w:t>
      </w:r>
    </w:p>
    <w:p w14:paraId="1EC96700" w14:textId="77777777" w:rsidR="00C52815" w:rsidRDefault="005C44F4">
      <w:pPr>
        <w:spacing w:line="360" w:lineRule="auto"/>
        <w:ind w:firstLineChars="200" w:firstLine="480"/>
        <w:rPr>
          <w:rFonts w:ascii="宋体" w:hAnsi="宋体" w:cs="Arial"/>
          <w:sz w:val="24"/>
        </w:rPr>
      </w:pPr>
      <w:r>
        <w:rPr>
          <w:rFonts w:ascii="宋体" w:hAnsi="宋体" w:cs="Arial"/>
          <w:sz w:val="24"/>
        </w:rPr>
        <w:t>（1）</w:t>
      </w:r>
      <w:r>
        <w:rPr>
          <w:rFonts w:ascii="宋体" w:hAnsi="宋体" w:cs="Arial"/>
          <w:bCs/>
          <w:sz w:val="24"/>
        </w:rPr>
        <w:t>本</w:t>
      </w:r>
      <w:r>
        <w:rPr>
          <w:rFonts w:ascii="宋体" w:hAnsi="宋体" w:cs="Arial"/>
          <w:sz w:val="24"/>
        </w:rPr>
        <w:t>基金投资</w:t>
      </w:r>
      <w:r>
        <w:rPr>
          <w:rFonts w:ascii="宋体" w:hAnsi="宋体" w:cs="Arial"/>
          <w:bCs/>
          <w:sz w:val="24"/>
        </w:rPr>
        <w:t>于标的指数成份股、备选成份股的</w:t>
      </w:r>
      <w:r>
        <w:rPr>
          <w:rFonts w:ascii="宋体" w:hAnsi="宋体" w:cs="Arial"/>
          <w:sz w:val="24"/>
        </w:rPr>
        <w:t>比例</w:t>
      </w:r>
      <w:r>
        <w:rPr>
          <w:rFonts w:ascii="宋体" w:hAnsi="宋体" w:cs="Arial"/>
          <w:bCs/>
          <w:sz w:val="24"/>
        </w:rPr>
        <w:t>不低于基金资产净值的90%，且不低于非现金基金资产的80%</w:t>
      </w:r>
      <w:r>
        <w:rPr>
          <w:rFonts w:ascii="宋体" w:hAnsi="宋体" w:cs="Arial"/>
          <w:sz w:val="24"/>
        </w:rPr>
        <w:t>；</w:t>
      </w:r>
    </w:p>
    <w:p w14:paraId="2F81392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（2）本基金投资于同一原始权益人的各类资产支持证券的比例，不得超过基金资产净值的10％；</w:t>
      </w:r>
    </w:p>
    <w:p w14:paraId="0B7A51F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（3）本基金持有的全部资产支持证券，其市值不得超过基金资产净值的20％；</w:t>
      </w:r>
    </w:p>
    <w:p w14:paraId="6EA6CDBD" w14:textId="4E3484F4" w:rsidR="00C52815" w:rsidRDefault="005C44F4">
      <w:pPr>
        <w:spacing w:line="360" w:lineRule="auto"/>
        <w:ind w:firstLineChars="200" w:firstLine="480"/>
        <w:rPr>
          <w:rFonts w:ascii="宋体" w:hAnsi="宋体" w:cs="Arial"/>
          <w:bCs/>
          <w:sz w:val="24"/>
        </w:rPr>
      </w:pPr>
      <w:r>
        <w:rPr>
          <w:rFonts w:ascii="宋体" w:hAnsi="宋体" w:cs="Arial"/>
          <w:bCs/>
          <w:sz w:val="24"/>
        </w:rPr>
        <w:t>（4）本基金持有的同一</w:t>
      </w:r>
      <w:r w:rsidR="00C43654">
        <w:rPr>
          <w:rFonts w:ascii="宋体" w:hAnsi="宋体" w:cs="Arial" w:hint="eastAsia"/>
          <w:bCs/>
          <w:sz w:val="24"/>
        </w:rPr>
        <w:t>（</w:t>
      </w:r>
      <w:r>
        <w:rPr>
          <w:rFonts w:ascii="宋体" w:hAnsi="宋体" w:cs="Arial"/>
          <w:bCs/>
          <w:sz w:val="24"/>
        </w:rPr>
        <w:t>指同一信用级别</w:t>
      </w:r>
      <w:r w:rsidR="00C43654">
        <w:rPr>
          <w:rFonts w:ascii="宋体" w:hAnsi="宋体" w:cs="Arial" w:hint="eastAsia"/>
          <w:bCs/>
          <w:sz w:val="24"/>
        </w:rPr>
        <w:t>）</w:t>
      </w:r>
      <w:r>
        <w:rPr>
          <w:rFonts w:ascii="宋体" w:hAnsi="宋体" w:cs="Arial"/>
          <w:bCs/>
          <w:sz w:val="24"/>
        </w:rPr>
        <w:t>资产支持证券的比例，不得超过该资产支持证券规模的10％；</w:t>
      </w:r>
    </w:p>
    <w:p w14:paraId="102FAC2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（5）本基金管理人管理的全部基金投资于同一原始权益人的各类资产支持证券，不得超过其各类资产支持证券合计规模的10％；</w:t>
      </w:r>
    </w:p>
    <w:p w14:paraId="0FECC5AA" w14:textId="2103E08C" w:rsidR="00C52815" w:rsidRDefault="005C44F4">
      <w:pPr>
        <w:spacing w:line="360" w:lineRule="auto"/>
        <w:ind w:firstLineChars="200" w:firstLine="480"/>
        <w:rPr>
          <w:rFonts w:ascii="宋体" w:hAnsi="宋体" w:cs="Arial"/>
          <w:bCs/>
          <w:sz w:val="24"/>
        </w:rPr>
      </w:pPr>
      <w:r>
        <w:rPr>
          <w:rFonts w:ascii="宋体" w:hAnsi="宋体" w:cs="Arial"/>
          <w:bCs/>
          <w:sz w:val="24"/>
        </w:rPr>
        <w:t>（6）本基金应投资于信用级别评级为BBB以上</w:t>
      </w:r>
      <w:r w:rsidR="00352235">
        <w:rPr>
          <w:rFonts w:ascii="宋体" w:hAnsi="宋体" w:cs="Arial" w:hint="eastAsia"/>
          <w:bCs/>
          <w:sz w:val="24"/>
        </w:rPr>
        <w:t>（</w:t>
      </w:r>
      <w:r>
        <w:rPr>
          <w:rFonts w:ascii="宋体" w:hAnsi="宋体" w:cs="Arial"/>
          <w:bCs/>
          <w:sz w:val="24"/>
        </w:rPr>
        <w:t>含BBB</w:t>
      </w:r>
      <w:r w:rsidR="00265F81" w:rsidRPr="00265F81">
        <w:rPr>
          <w:rFonts w:ascii="宋体" w:hAnsi="宋体" w:cs="Arial" w:hint="eastAsia"/>
          <w:bCs/>
          <w:sz w:val="24"/>
        </w:rPr>
        <w:t>）</w:t>
      </w:r>
      <w:r>
        <w:rPr>
          <w:rFonts w:ascii="宋体" w:hAnsi="宋体" w:cs="Arial"/>
          <w:bCs/>
          <w:sz w:val="24"/>
        </w:rPr>
        <w:t>的资产支持证券。基金持有资产支持证券期间，如果其信用等级下降、不再符合投资标准，应在评级报告发布之日起3个月内予以全部卖出；</w:t>
      </w:r>
    </w:p>
    <w:p w14:paraId="0967CEA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（7）基金财产参与股票发行申购，本基金所申报的金额不超过本基金的总资产，本基金所申报的股票数量不超过拟发行股票公司本次发行股票的总量；</w:t>
      </w:r>
    </w:p>
    <w:p w14:paraId="6E6F592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（8）基金总资产不得超过基金净资产的140%；</w:t>
      </w:r>
    </w:p>
    <w:p w14:paraId="7F8F6F2D" w14:textId="732C6350" w:rsidR="00C52815" w:rsidRDefault="005C44F4">
      <w:pPr>
        <w:spacing w:line="360" w:lineRule="auto"/>
        <w:ind w:firstLineChars="200" w:firstLine="480"/>
        <w:rPr>
          <w:rFonts w:ascii="宋体" w:hAnsi="宋体" w:cs="Arial"/>
          <w:bCs/>
          <w:sz w:val="24"/>
        </w:rPr>
      </w:pPr>
      <w:r>
        <w:rPr>
          <w:rFonts w:ascii="宋体" w:hAnsi="宋体" w:cs="Arial"/>
          <w:bCs/>
          <w:sz w:val="24"/>
        </w:rPr>
        <w:t>（</w:t>
      </w:r>
      <w:r w:rsidR="00AD0135">
        <w:rPr>
          <w:rFonts w:ascii="宋体" w:hAnsi="宋体" w:cs="Arial"/>
          <w:bCs/>
          <w:sz w:val="24"/>
        </w:rPr>
        <w:t>9</w:t>
      </w:r>
      <w:r>
        <w:rPr>
          <w:rFonts w:ascii="宋体" w:hAnsi="宋体" w:cs="Arial"/>
          <w:bCs/>
          <w:sz w:val="24"/>
        </w:rPr>
        <w:t>）本基金</w:t>
      </w:r>
      <w:proofErr w:type="gramStart"/>
      <w:r>
        <w:rPr>
          <w:rFonts w:ascii="宋体" w:hAnsi="宋体" w:cs="Arial" w:hint="eastAsia"/>
          <w:bCs/>
          <w:sz w:val="24"/>
        </w:rPr>
        <w:t>若</w:t>
      </w:r>
      <w:r>
        <w:rPr>
          <w:rFonts w:ascii="宋体" w:hAnsi="宋体" w:cs="Arial"/>
          <w:bCs/>
          <w:sz w:val="24"/>
        </w:rPr>
        <w:t>参</w:t>
      </w:r>
      <w:proofErr w:type="gramEnd"/>
      <w:r>
        <w:rPr>
          <w:rFonts w:ascii="宋体" w:hAnsi="宋体" w:cs="Arial"/>
          <w:bCs/>
          <w:sz w:val="24"/>
        </w:rPr>
        <w:t>与股指期货交易，应当符合下列投资限制：</w:t>
      </w:r>
    </w:p>
    <w:p w14:paraId="3CA8FF7E" w14:textId="77777777" w:rsidR="00C52815" w:rsidRDefault="005C44F4">
      <w:pPr>
        <w:spacing w:line="360" w:lineRule="auto"/>
        <w:ind w:firstLineChars="200" w:firstLine="480"/>
        <w:rPr>
          <w:rFonts w:ascii="宋体" w:hAnsi="宋体" w:cs="Arial"/>
          <w:bCs/>
          <w:sz w:val="24"/>
        </w:rPr>
      </w:pPr>
      <w:r>
        <w:rPr>
          <w:rFonts w:ascii="宋体" w:eastAsia="微软雅黑" w:hAnsi="宋体" w:cs="微软雅黑" w:hint="eastAsia"/>
          <w:bCs/>
          <w:sz w:val="24"/>
        </w:rPr>
        <w:t>①</w:t>
      </w:r>
      <w:r>
        <w:rPr>
          <w:rFonts w:ascii="宋体" w:hAnsi="宋体" w:cs="Arial"/>
          <w:bCs/>
          <w:sz w:val="24"/>
        </w:rPr>
        <w:t>本基金在任何交易日日终，持有的买入股指期货合约价值，不得超过基金资产净值的10%；</w:t>
      </w:r>
    </w:p>
    <w:p w14:paraId="3A5E5F36" w14:textId="77777777" w:rsidR="00C52815" w:rsidRDefault="005C44F4">
      <w:pPr>
        <w:spacing w:line="360" w:lineRule="auto"/>
        <w:ind w:firstLineChars="200" w:firstLine="480"/>
        <w:rPr>
          <w:rFonts w:ascii="宋体" w:hAnsi="宋体" w:cs="Arial"/>
          <w:bCs/>
          <w:sz w:val="24"/>
        </w:rPr>
      </w:pPr>
      <w:r>
        <w:rPr>
          <w:rFonts w:ascii="宋体" w:eastAsia="微软雅黑" w:hAnsi="宋体" w:cs="微软雅黑" w:hint="eastAsia"/>
          <w:bCs/>
          <w:sz w:val="24"/>
        </w:rPr>
        <w:t>②</w:t>
      </w:r>
      <w:r>
        <w:rPr>
          <w:rFonts w:ascii="宋体" w:hAnsi="宋体" w:cs="Arial"/>
          <w:bCs/>
          <w:sz w:val="24"/>
        </w:rPr>
        <w:t>本基金在任何交易日日终，持有的买入股指期货、国债期货合约价值与有价证券市值之和，不得超过基金资产净值的100%；</w:t>
      </w:r>
    </w:p>
    <w:p w14:paraId="51777DA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其中，有价证券指股票、债券（不含到期日在一年以内的政府债券）、资产支持证券、买入返售金融资产（不含质押式回购）等；</w:t>
      </w:r>
    </w:p>
    <w:p w14:paraId="701D0E44" w14:textId="77777777" w:rsidR="00C52815" w:rsidRDefault="005C44F4">
      <w:pPr>
        <w:spacing w:line="360" w:lineRule="auto"/>
        <w:ind w:firstLineChars="200" w:firstLine="480"/>
        <w:rPr>
          <w:rFonts w:ascii="宋体" w:hAnsi="宋体" w:cs="Arial"/>
          <w:bCs/>
          <w:sz w:val="24"/>
        </w:rPr>
      </w:pPr>
      <w:r>
        <w:rPr>
          <w:rFonts w:ascii="宋体" w:eastAsia="微软雅黑" w:hAnsi="宋体" w:cs="微软雅黑" w:hint="eastAsia"/>
          <w:bCs/>
          <w:sz w:val="24"/>
        </w:rPr>
        <w:lastRenderedPageBreak/>
        <w:t>③</w:t>
      </w:r>
      <w:r>
        <w:rPr>
          <w:rFonts w:ascii="宋体" w:hAnsi="宋体" w:cs="Arial"/>
          <w:bCs/>
          <w:sz w:val="24"/>
        </w:rPr>
        <w:t>本基金在任何交易日日终，持有的卖出股指期货合约价值不得超过基金持有的股票总市值的20%</w:t>
      </w:r>
      <w:r>
        <w:rPr>
          <w:rFonts w:ascii="宋体" w:hAnsi="宋体" w:cs="Arial" w:hint="eastAsia"/>
          <w:bCs/>
          <w:sz w:val="24"/>
        </w:rPr>
        <w:t>；</w:t>
      </w:r>
    </w:p>
    <w:p w14:paraId="25B93E4A" w14:textId="77777777" w:rsidR="00C52815" w:rsidRDefault="005C44F4">
      <w:pPr>
        <w:spacing w:line="360" w:lineRule="auto"/>
        <w:ind w:firstLineChars="200" w:firstLine="480"/>
        <w:rPr>
          <w:rFonts w:ascii="宋体" w:hAnsi="宋体" w:cs="Arial"/>
          <w:bCs/>
          <w:sz w:val="24"/>
        </w:rPr>
      </w:pPr>
      <w:r>
        <w:rPr>
          <w:rFonts w:ascii="宋体" w:eastAsia="微软雅黑" w:hAnsi="宋体" w:cs="微软雅黑" w:hint="eastAsia"/>
          <w:bCs/>
          <w:sz w:val="24"/>
        </w:rPr>
        <w:t>④</w:t>
      </w:r>
      <w:r>
        <w:rPr>
          <w:rFonts w:ascii="宋体" w:hAnsi="宋体" w:cs="Arial"/>
          <w:bCs/>
          <w:sz w:val="24"/>
        </w:rPr>
        <w:t>本基金所持有的股票市值和买入、卖出股指期货合约价值，合计（轧差计算）应当符合基金合同关于股票投资比例的有关约定；</w:t>
      </w:r>
    </w:p>
    <w:p w14:paraId="4E9772D3" w14:textId="77777777" w:rsidR="00C52815" w:rsidRDefault="005C44F4">
      <w:pPr>
        <w:spacing w:line="360" w:lineRule="auto"/>
        <w:ind w:firstLineChars="200" w:firstLine="480"/>
        <w:rPr>
          <w:rFonts w:ascii="宋体" w:hAnsi="宋体" w:cs="Arial"/>
          <w:bCs/>
          <w:sz w:val="24"/>
        </w:rPr>
      </w:pPr>
      <w:r>
        <w:rPr>
          <w:rFonts w:ascii="宋体" w:eastAsia="微软雅黑" w:hAnsi="宋体" w:cs="微软雅黑" w:hint="eastAsia"/>
          <w:bCs/>
          <w:sz w:val="24"/>
        </w:rPr>
        <w:t>⑤</w:t>
      </w:r>
      <w:r>
        <w:rPr>
          <w:rFonts w:ascii="宋体" w:hAnsi="宋体" w:cs="Arial"/>
          <w:bCs/>
          <w:sz w:val="24"/>
        </w:rPr>
        <w:t xml:space="preserve">本基金在任何交易日内交易（不包括平仓）的股指期货合约的成交金额不得超过上一交易日基金资产净值的20%；    </w:t>
      </w:r>
    </w:p>
    <w:p w14:paraId="231CEF9B"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⑥</w:t>
      </w:r>
      <w:r>
        <w:rPr>
          <w:rFonts w:ascii="宋体" w:hAnsi="宋体" w:cs="Arial"/>
          <w:bCs/>
          <w:sz w:val="24"/>
        </w:rPr>
        <w:t>每个交易日日终，在扣除股指期货和国债期货合约需缴纳的交易保证金后，本基金应当保持不低于交易保证金一倍的现金；</w:t>
      </w:r>
    </w:p>
    <w:p w14:paraId="2820D6D1" w14:textId="08EAF684" w:rsidR="00C52815" w:rsidRDefault="005C44F4">
      <w:pPr>
        <w:spacing w:line="360" w:lineRule="auto"/>
        <w:ind w:firstLine="480"/>
        <w:rPr>
          <w:rFonts w:ascii="宋体" w:hAnsi="宋体" w:cs="Arial"/>
          <w:bCs/>
          <w:sz w:val="24"/>
        </w:rPr>
      </w:pPr>
      <w:r>
        <w:rPr>
          <w:rFonts w:ascii="宋体" w:hAnsi="宋体" w:cs="Arial"/>
          <w:bCs/>
          <w:sz w:val="24"/>
        </w:rPr>
        <w:t>（</w:t>
      </w:r>
      <w:r w:rsidR="00AD0135">
        <w:rPr>
          <w:rFonts w:ascii="宋体" w:hAnsi="宋体" w:cs="Arial"/>
          <w:bCs/>
          <w:sz w:val="24"/>
        </w:rPr>
        <w:t>10</w:t>
      </w:r>
      <w:r>
        <w:rPr>
          <w:rFonts w:ascii="宋体" w:hAnsi="宋体" w:cs="Arial"/>
          <w:bCs/>
          <w:sz w:val="24"/>
        </w:rPr>
        <w:t>）本基金</w:t>
      </w:r>
      <w:proofErr w:type="gramStart"/>
      <w:r>
        <w:rPr>
          <w:rFonts w:ascii="宋体" w:hAnsi="宋体" w:cs="Arial"/>
          <w:bCs/>
          <w:sz w:val="24"/>
        </w:rPr>
        <w:t>若参</w:t>
      </w:r>
      <w:proofErr w:type="gramEnd"/>
      <w:r>
        <w:rPr>
          <w:rFonts w:ascii="宋体" w:hAnsi="宋体" w:cs="Arial"/>
          <w:bCs/>
          <w:sz w:val="24"/>
        </w:rPr>
        <w:t>与国债期货交易，应当符合下列投资限制：</w:t>
      </w:r>
    </w:p>
    <w:p w14:paraId="0EDDCAAC"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①</w:t>
      </w:r>
      <w:r>
        <w:rPr>
          <w:rFonts w:ascii="宋体" w:hAnsi="宋体" w:cs="Arial"/>
          <w:bCs/>
          <w:sz w:val="24"/>
        </w:rPr>
        <w:t>本基金在任何交易日日终，持有的买入国债期货合约价值，不得超过基金资产净值的15%；</w:t>
      </w:r>
    </w:p>
    <w:p w14:paraId="6DB4EB8B"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②</w:t>
      </w:r>
      <w:r>
        <w:rPr>
          <w:rFonts w:ascii="宋体" w:hAnsi="宋体" w:cs="Arial"/>
          <w:bCs/>
          <w:sz w:val="24"/>
        </w:rPr>
        <w:t xml:space="preserve">本基金在任何交易日日终，在扣除股指期货和国债期货合约需缴纳的交易保证金后，应当保持不低于交易保证金一倍的现金； </w:t>
      </w:r>
    </w:p>
    <w:p w14:paraId="50BD2323" w14:textId="16B6C8CD"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③</w:t>
      </w:r>
      <w:r>
        <w:rPr>
          <w:rFonts w:ascii="宋体" w:hAnsi="宋体" w:cs="Arial"/>
          <w:bCs/>
          <w:sz w:val="24"/>
        </w:rPr>
        <w:t>本基金在任何交易日日终，持有的买入股指期货、国债期货合约价值与有价证券市值之和，不得超过基金资产净值的100%</w:t>
      </w:r>
      <w:r w:rsidR="00F511F1">
        <w:rPr>
          <w:rFonts w:ascii="宋体" w:hAnsi="宋体" w:cs="Arial"/>
          <w:bCs/>
          <w:sz w:val="24"/>
        </w:rPr>
        <w:t>；</w:t>
      </w:r>
    </w:p>
    <w:p w14:paraId="02F9E86F" w14:textId="77777777" w:rsidR="00C52815" w:rsidRDefault="005C44F4">
      <w:pPr>
        <w:spacing w:line="360" w:lineRule="auto"/>
        <w:ind w:firstLine="480"/>
        <w:rPr>
          <w:rFonts w:ascii="宋体" w:hAnsi="宋体" w:cs="Arial"/>
          <w:bCs/>
          <w:sz w:val="24"/>
        </w:rPr>
      </w:pPr>
      <w:r>
        <w:rPr>
          <w:rFonts w:ascii="宋体" w:hAnsi="宋体" w:cs="Arial"/>
          <w:bCs/>
          <w:sz w:val="24"/>
        </w:rPr>
        <w:t>其中，有价证券指股票、债券（不含到期日在一年以内的政府债券）、资产支持证券、买入返售金融资产（不含质押式回购）等；</w:t>
      </w:r>
    </w:p>
    <w:p w14:paraId="4856A152"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④</w:t>
      </w:r>
      <w:r>
        <w:rPr>
          <w:rFonts w:ascii="宋体" w:hAnsi="宋体" w:cs="Arial"/>
          <w:bCs/>
          <w:sz w:val="24"/>
        </w:rPr>
        <w:t>本基金在任何交易日日终，持有的卖出国债期货合约价值不得超过基金持有的债券总市值的30%；</w:t>
      </w:r>
    </w:p>
    <w:p w14:paraId="3E77AD12"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⑤</w:t>
      </w:r>
      <w:r>
        <w:rPr>
          <w:rFonts w:ascii="宋体" w:hAnsi="宋体" w:cs="Arial"/>
          <w:bCs/>
          <w:sz w:val="24"/>
        </w:rPr>
        <w:t>本基金所持有的债券(不含到期日在一年以内的政府债券)市值和买入、卖出国债期货合约价值，合计(轧差计算)应当符合基金合同关于债券投资比例的有关约定；</w:t>
      </w:r>
    </w:p>
    <w:p w14:paraId="103753B3"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⑥</w:t>
      </w:r>
      <w:r>
        <w:rPr>
          <w:rFonts w:ascii="宋体" w:hAnsi="宋体" w:cs="Arial"/>
          <w:bCs/>
          <w:sz w:val="24"/>
        </w:rPr>
        <w:t>本基金在任何交易日内交易（不包括平仓）的国债期货合约的成交金额不得超过上一交易日基金资产净值的30%；</w:t>
      </w:r>
    </w:p>
    <w:p w14:paraId="3592AA6F" w14:textId="38FFE292" w:rsidR="00C52815" w:rsidRDefault="005C44F4">
      <w:pPr>
        <w:spacing w:line="360" w:lineRule="auto"/>
        <w:ind w:firstLine="480"/>
        <w:rPr>
          <w:rFonts w:ascii="宋体" w:hAnsi="宋体" w:cs="Arial"/>
          <w:bCs/>
          <w:sz w:val="24"/>
        </w:rPr>
      </w:pPr>
      <w:r>
        <w:rPr>
          <w:rFonts w:ascii="宋体" w:hAnsi="宋体" w:cs="Arial"/>
          <w:bCs/>
          <w:sz w:val="24"/>
        </w:rPr>
        <w:t>（</w:t>
      </w:r>
      <w:r w:rsidR="00AD0135">
        <w:rPr>
          <w:rFonts w:ascii="宋体" w:hAnsi="宋体" w:cs="Arial"/>
          <w:bCs/>
          <w:sz w:val="24"/>
        </w:rPr>
        <w:t>11</w:t>
      </w:r>
      <w:r>
        <w:rPr>
          <w:rFonts w:ascii="宋体" w:hAnsi="宋体" w:cs="Arial"/>
          <w:bCs/>
          <w:sz w:val="24"/>
        </w:rPr>
        <w:t>）本基金</w:t>
      </w:r>
      <w:proofErr w:type="gramStart"/>
      <w:r>
        <w:rPr>
          <w:rFonts w:ascii="宋体" w:hAnsi="宋体" w:cs="Arial" w:hint="eastAsia"/>
          <w:bCs/>
          <w:sz w:val="24"/>
        </w:rPr>
        <w:t>若</w:t>
      </w:r>
      <w:r>
        <w:rPr>
          <w:rFonts w:ascii="宋体" w:hAnsi="宋体" w:cs="Arial"/>
          <w:bCs/>
          <w:sz w:val="24"/>
        </w:rPr>
        <w:t>参</w:t>
      </w:r>
      <w:proofErr w:type="gramEnd"/>
      <w:r>
        <w:rPr>
          <w:rFonts w:ascii="宋体" w:hAnsi="宋体" w:cs="Arial"/>
          <w:bCs/>
          <w:sz w:val="24"/>
        </w:rPr>
        <w:t>与股票期权交易，应当符合下列投资限制：</w:t>
      </w:r>
    </w:p>
    <w:p w14:paraId="56A124D6"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①</w:t>
      </w:r>
      <w:r>
        <w:rPr>
          <w:rFonts w:ascii="宋体" w:hAnsi="宋体" w:cs="Arial"/>
          <w:bCs/>
          <w:sz w:val="24"/>
        </w:rPr>
        <w:t>基金因未平仓的期权合约支付和收取的权利金总额不得超过基金资产净</w:t>
      </w:r>
      <w:r>
        <w:rPr>
          <w:rFonts w:ascii="宋体" w:hAnsi="宋体" w:cs="Arial"/>
          <w:bCs/>
          <w:sz w:val="24"/>
        </w:rPr>
        <w:lastRenderedPageBreak/>
        <w:t>值的10%；</w:t>
      </w:r>
    </w:p>
    <w:p w14:paraId="7F0F0EA3"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②</w:t>
      </w:r>
      <w:r>
        <w:rPr>
          <w:rFonts w:ascii="宋体" w:hAnsi="宋体" w:cs="Arial"/>
          <w:bCs/>
          <w:sz w:val="24"/>
        </w:rPr>
        <w:t>开仓卖出认购期权的，应持有足额标的证券；开仓卖出认沽期权的，应持有合约行权所需的全额现金或交易所规则认可的可冲抵期权保证金的现金等价物；</w:t>
      </w:r>
    </w:p>
    <w:p w14:paraId="7FB18ECD"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③</w:t>
      </w:r>
      <w:r>
        <w:rPr>
          <w:rFonts w:ascii="宋体" w:hAnsi="宋体" w:cs="Arial"/>
          <w:bCs/>
          <w:sz w:val="24"/>
        </w:rPr>
        <w:t>未平仓的期权合约面值不得超过基金资产净值的20%。其中，合约面值按照行权价乘以合约乘数计算；</w:t>
      </w:r>
    </w:p>
    <w:p w14:paraId="59C05DF6" w14:textId="4BA3D2DB" w:rsidR="00C52815" w:rsidRDefault="005C44F4">
      <w:pPr>
        <w:spacing w:line="360" w:lineRule="auto"/>
        <w:ind w:firstLine="480"/>
        <w:rPr>
          <w:rFonts w:ascii="宋体" w:hAnsi="宋体" w:cs="Arial"/>
          <w:bCs/>
          <w:sz w:val="24"/>
        </w:rPr>
      </w:pPr>
      <w:r>
        <w:rPr>
          <w:rFonts w:ascii="宋体" w:hAnsi="宋体" w:cs="Arial"/>
          <w:bCs/>
          <w:sz w:val="24"/>
        </w:rPr>
        <w:t>（</w:t>
      </w:r>
      <w:r w:rsidR="00AD0135">
        <w:rPr>
          <w:rFonts w:ascii="宋体" w:hAnsi="宋体" w:cs="Arial"/>
          <w:bCs/>
          <w:sz w:val="24"/>
        </w:rPr>
        <w:t>12</w:t>
      </w:r>
      <w:r>
        <w:rPr>
          <w:rFonts w:ascii="宋体" w:hAnsi="宋体" w:cs="Arial"/>
          <w:bCs/>
          <w:sz w:val="24"/>
        </w:rPr>
        <w:t>）本基金参与融资业务后，在任何交易日日终，持有的融资买入股票与其他有价证券市值之和，不得超过基金资产净值的 95%；</w:t>
      </w:r>
    </w:p>
    <w:p w14:paraId="43E17A36" w14:textId="66DCF0E6" w:rsidR="00C52815" w:rsidRDefault="005C44F4">
      <w:pPr>
        <w:spacing w:line="360" w:lineRule="auto"/>
        <w:ind w:firstLine="480"/>
        <w:rPr>
          <w:rFonts w:ascii="宋体" w:hAnsi="宋体" w:cs="Arial"/>
          <w:bCs/>
          <w:sz w:val="24"/>
        </w:rPr>
      </w:pPr>
      <w:r>
        <w:rPr>
          <w:rFonts w:ascii="宋体" w:hAnsi="宋体" w:cs="Arial"/>
          <w:bCs/>
          <w:sz w:val="24"/>
        </w:rPr>
        <w:t>（</w:t>
      </w:r>
      <w:r w:rsidR="00AD0135">
        <w:rPr>
          <w:rFonts w:ascii="宋体" w:hAnsi="宋体" w:cs="Arial"/>
          <w:bCs/>
          <w:sz w:val="24"/>
        </w:rPr>
        <w:t>13</w:t>
      </w:r>
      <w:r>
        <w:rPr>
          <w:rFonts w:ascii="宋体" w:hAnsi="宋体" w:cs="Arial"/>
          <w:bCs/>
          <w:sz w:val="24"/>
        </w:rPr>
        <w:t>）本基金参与转融通证券出借业务，应当符合下列投资限制：</w:t>
      </w:r>
    </w:p>
    <w:p w14:paraId="3C1A4D46"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①</w:t>
      </w:r>
      <w:r>
        <w:rPr>
          <w:rFonts w:ascii="宋体" w:hAnsi="宋体" w:cs="Arial"/>
          <w:bCs/>
          <w:sz w:val="24"/>
        </w:rPr>
        <w:t>出借证券资产不得超过基金资产净值的30%，出借期限在10个交易日以上的出借证券应纳入《流动性风险管理规定》所述流动性受限证券的范围；</w:t>
      </w:r>
    </w:p>
    <w:p w14:paraId="5813403C"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②</w:t>
      </w:r>
      <w:r>
        <w:rPr>
          <w:rFonts w:ascii="宋体" w:hAnsi="宋体" w:cs="Arial"/>
          <w:bCs/>
          <w:sz w:val="24"/>
        </w:rPr>
        <w:t>本基金参与出借业务的单只证券不得超过基金持有该证券总量的30%；</w:t>
      </w:r>
    </w:p>
    <w:p w14:paraId="75941469"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③</w:t>
      </w:r>
      <w:r>
        <w:rPr>
          <w:rFonts w:ascii="宋体" w:hAnsi="宋体" w:cs="Arial"/>
          <w:bCs/>
          <w:sz w:val="24"/>
        </w:rPr>
        <w:t>最近6个月内日均基金资产净值不得低于2亿元；</w:t>
      </w:r>
    </w:p>
    <w:p w14:paraId="4CDFFF72"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④</w:t>
      </w:r>
      <w:r>
        <w:rPr>
          <w:rFonts w:ascii="宋体" w:hAnsi="宋体" w:cs="Arial"/>
          <w:bCs/>
          <w:sz w:val="24"/>
        </w:rPr>
        <w:t>证券出借的平均剩余期限不得超过30天，平均剩余期限按照市值加权平均计算；</w:t>
      </w:r>
    </w:p>
    <w:p w14:paraId="4857A9A1" w14:textId="77777777" w:rsidR="00C52815" w:rsidRDefault="005C44F4">
      <w:pPr>
        <w:spacing w:line="360" w:lineRule="auto"/>
        <w:ind w:firstLine="480"/>
        <w:rPr>
          <w:rFonts w:ascii="宋体" w:hAnsi="宋体" w:cs="Arial"/>
          <w:bCs/>
          <w:sz w:val="24"/>
        </w:rPr>
      </w:pPr>
      <w:r>
        <w:rPr>
          <w:rFonts w:ascii="宋体" w:hAnsi="宋体" w:cs="Arial"/>
          <w:bCs/>
          <w:sz w:val="24"/>
        </w:rPr>
        <w:t>因证券市场波动、上市公司合并、基金规模变动等基金管理人之外的因素致使基金投资不符合上述规定的，基金管理人不得新增出借业务；</w:t>
      </w:r>
    </w:p>
    <w:p w14:paraId="661370EF" w14:textId="4512A37C" w:rsidR="00C52815" w:rsidRDefault="005C44F4">
      <w:pPr>
        <w:spacing w:line="360" w:lineRule="auto"/>
        <w:ind w:firstLine="480"/>
        <w:rPr>
          <w:rFonts w:ascii="宋体" w:hAnsi="宋体" w:cs="Arial"/>
          <w:bCs/>
          <w:sz w:val="24"/>
        </w:rPr>
      </w:pPr>
      <w:r>
        <w:rPr>
          <w:rFonts w:ascii="宋体" w:hAnsi="宋体" w:cs="Arial"/>
          <w:bCs/>
          <w:sz w:val="24"/>
        </w:rPr>
        <w:t>（</w:t>
      </w:r>
      <w:r w:rsidR="00AD0135">
        <w:rPr>
          <w:rFonts w:ascii="宋体" w:hAnsi="宋体" w:cs="Arial"/>
          <w:bCs/>
          <w:sz w:val="24"/>
        </w:rPr>
        <w:t>14</w:t>
      </w:r>
      <w:r>
        <w:rPr>
          <w:rFonts w:ascii="宋体" w:hAnsi="宋体" w:cs="Arial"/>
          <w:bCs/>
          <w:sz w:val="24"/>
        </w:rPr>
        <w:t xml:space="preserve">）本基金主动投资于流动性受限资产的市值合计不得超过基金资产净值的15%；因证券市场波动、上市公司股票停牌、基金规模变动等基金管理人之外的因素致使基金不符合本款所规定比例限制的，本基金管理人不得主动新增流动性受限资产的投资；  </w:t>
      </w:r>
    </w:p>
    <w:p w14:paraId="12E06CCD" w14:textId="7716B684" w:rsidR="00C52815" w:rsidRDefault="005C44F4">
      <w:pPr>
        <w:spacing w:line="360" w:lineRule="auto"/>
        <w:ind w:firstLineChars="200" w:firstLine="480"/>
        <w:rPr>
          <w:rFonts w:ascii="宋体" w:hAnsi="宋体" w:cs="Arial"/>
          <w:bCs/>
          <w:sz w:val="24"/>
        </w:rPr>
      </w:pPr>
      <w:r>
        <w:rPr>
          <w:rFonts w:ascii="宋体" w:hAnsi="宋体" w:cs="Arial"/>
          <w:bCs/>
          <w:sz w:val="24"/>
        </w:rPr>
        <w:t>（</w:t>
      </w:r>
      <w:r w:rsidR="00AD0135">
        <w:rPr>
          <w:rFonts w:ascii="宋体" w:hAnsi="宋体" w:cs="Arial"/>
          <w:bCs/>
          <w:sz w:val="24"/>
        </w:rPr>
        <w:t>15</w:t>
      </w:r>
      <w:r>
        <w:rPr>
          <w:rFonts w:ascii="宋体" w:hAnsi="宋体" w:cs="Arial"/>
          <w:bCs/>
          <w:sz w:val="24"/>
        </w:rPr>
        <w:t>）本基金与私募类</w:t>
      </w:r>
      <w:proofErr w:type="gramStart"/>
      <w:r>
        <w:rPr>
          <w:rFonts w:ascii="宋体" w:hAnsi="宋体" w:cs="Arial"/>
          <w:bCs/>
          <w:sz w:val="24"/>
        </w:rPr>
        <w:t>证券资管产品</w:t>
      </w:r>
      <w:proofErr w:type="gramEnd"/>
      <w:r>
        <w:rPr>
          <w:rFonts w:ascii="宋体" w:hAnsi="宋体" w:cs="Arial"/>
          <w:bCs/>
          <w:sz w:val="24"/>
        </w:rPr>
        <w:t>及中国证监会认定的其他主体为交易对手开展逆回购交易的，可接受质押品的资质要求应当与基金合同约定的投资范围保持一致；</w:t>
      </w:r>
    </w:p>
    <w:p w14:paraId="46BA9E22" w14:textId="3D64EA6D" w:rsidR="00C52815" w:rsidRDefault="005C44F4">
      <w:pPr>
        <w:spacing w:line="360" w:lineRule="auto"/>
        <w:ind w:firstLineChars="200" w:firstLine="480"/>
        <w:rPr>
          <w:rFonts w:ascii="宋体" w:hAnsi="宋体" w:cs="Arial"/>
          <w:bCs/>
          <w:sz w:val="24"/>
        </w:rPr>
      </w:pPr>
      <w:r>
        <w:rPr>
          <w:rFonts w:ascii="宋体" w:hAnsi="宋体" w:cs="Arial"/>
          <w:bCs/>
          <w:sz w:val="24"/>
        </w:rPr>
        <w:t>（1</w:t>
      </w:r>
      <w:r w:rsidR="00AD0135">
        <w:rPr>
          <w:rFonts w:ascii="宋体" w:hAnsi="宋体" w:cs="Arial"/>
          <w:bCs/>
          <w:sz w:val="24"/>
        </w:rPr>
        <w:t>6</w:t>
      </w:r>
      <w:r>
        <w:rPr>
          <w:rFonts w:ascii="宋体" w:hAnsi="宋体" w:cs="Arial"/>
          <w:bCs/>
          <w:sz w:val="24"/>
        </w:rPr>
        <w:t>）本基金投资存托凭证的比例限制依照国内依法发行上市的股票执行，与国内依法发行上市的股票合并计算；</w:t>
      </w:r>
    </w:p>
    <w:p w14:paraId="005157E5" w14:textId="638236D4" w:rsidR="00C52815" w:rsidRDefault="005C44F4">
      <w:pPr>
        <w:spacing w:line="360" w:lineRule="auto"/>
        <w:ind w:firstLineChars="200" w:firstLine="480"/>
        <w:rPr>
          <w:rFonts w:ascii="宋体" w:hAnsi="宋体" w:cs="Arial"/>
          <w:bCs/>
          <w:sz w:val="24"/>
        </w:rPr>
      </w:pPr>
      <w:r>
        <w:rPr>
          <w:rFonts w:ascii="宋体" w:hAnsi="宋体" w:cs="Arial"/>
          <w:bCs/>
          <w:sz w:val="24"/>
        </w:rPr>
        <w:t>（</w:t>
      </w:r>
      <w:r w:rsidR="00AD0135">
        <w:rPr>
          <w:rFonts w:ascii="宋体" w:hAnsi="宋体" w:cs="Arial"/>
          <w:bCs/>
          <w:sz w:val="24"/>
        </w:rPr>
        <w:t>17</w:t>
      </w:r>
      <w:r>
        <w:rPr>
          <w:rFonts w:ascii="宋体" w:hAnsi="宋体" w:cs="Arial"/>
          <w:bCs/>
          <w:sz w:val="24"/>
        </w:rPr>
        <w:t>）法律法规及中国证监会规定的和《基金合同》约定的其他投资限制。</w:t>
      </w:r>
    </w:p>
    <w:p w14:paraId="4BA5A1FD" w14:textId="6B1E4162" w:rsidR="00C52815" w:rsidRDefault="005C44F4">
      <w:pPr>
        <w:spacing w:line="360" w:lineRule="auto"/>
        <w:ind w:firstLineChars="200" w:firstLine="480"/>
        <w:rPr>
          <w:rFonts w:ascii="宋体" w:hAnsi="宋体" w:cs="Arial"/>
          <w:bCs/>
        </w:rPr>
      </w:pPr>
      <w:r>
        <w:rPr>
          <w:rFonts w:ascii="宋体" w:hAnsi="宋体" w:cs="Arial"/>
          <w:bCs/>
          <w:sz w:val="24"/>
        </w:rPr>
        <w:lastRenderedPageBreak/>
        <w:t>除第（6）、（</w:t>
      </w:r>
      <w:r w:rsidR="00AD0135">
        <w:rPr>
          <w:rFonts w:ascii="宋体" w:hAnsi="宋体" w:cs="Arial"/>
          <w:bCs/>
          <w:sz w:val="24"/>
        </w:rPr>
        <w:t>13</w:t>
      </w:r>
      <w:r>
        <w:rPr>
          <w:rFonts w:ascii="宋体" w:hAnsi="宋体" w:cs="Arial"/>
          <w:bCs/>
          <w:sz w:val="24"/>
        </w:rPr>
        <w:t>）、（</w:t>
      </w:r>
      <w:r w:rsidR="00AD0135">
        <w:rPr>
          <w:rFonts w:ascii="宋体" w:hAnsi="宋体" w:cs="Arial"/>
          <w:bCs/>
          <w:sz w:val="24"/>
        </w:rPr>
        <w:t>14</w:t>
      </w:r>
      <w:r>
        <w:rPr>
          <w:rFonts w:ascii="宋体" w:hAnsi="宋体" w:cs="Arial"/>
          <w:bCs/>
          <w:sz w:val="24"/>
        </w:rPr>
        <w:t>）、（</w:t>
      </w:r>
      <w:r w:rsidR="00AD0135">
        <w:rPr>
          <w:rFonts w:ascii="宋体" w:hAnsi="宋体" w:cs="Arial"/>
          <w:bCs/>
          <w:sz w:val="24"/>
        </w:rPr>
        <w:t>15</w:t>
      </w:r>
      <w:r>
        <w:rPr>
          <w:rFonts w:ascii="宋体" w:hAnsi="宋体" w:cs="Arial"/>
          <w:bCs/>
          <w:sz w:val="24"/>
        </w:rPr>
        <w:t>）项外，因证券、期货市场波动、证券发行人合并、基金规模变动、标的指数成份股调整、标的指数成份股流动性限制等基金管理人之外的因素致使基金投资比例不符合上述规定投资比例的，基金管理人应当在所涉证券可交易之日起10个交易日内进行调整，但中国证监会规定的特殊情形除外。法律法规另有规定的，从其规定。</w:t>
      </w:r>
    </w:p>
    <w:p w14:paraId="2C4450C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53DC0A2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2、禁止行为</w:t>
      </w:r>
    </w:p>
    <w:p w14:paraId="3B7D8F6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为维护基金份额持有人的合法权益，基金财产不得用于下列投资或者活动：</w:t>
      </w:r>
    </w:p>
    <w:p w14:paraId="5AF2F5C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（1）承销证券；</w:t>
      </w:r>
    </w:p>
    <w:p w14:paraId="35CA9B5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（2）违反规定向他人贷款或者提供担保；</w:t>
      </w:r>
    </w:p>
    <w:p w14:paraId="38B65B9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（3）从事承担无限责任的投资；</w:t>
      </w:r>
    </w:p>
    <w:p w14:paraId="46E42A1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（4）买卖其他基金份额，但是中国证监会另有规定的除外；</w:t>
      </w:r>
    </w:p>
    <w:p w14:paraId="3A2F685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（5）向其基金管理人、基金托管人出资；</w:t>
      </w:r>
    </w:p>
    <w:p w14:paraId="47C3472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（6）从事内幕交易、操纵证券交易价格及其他不正当的证券交易活动；</w:t>
      </w:r>
    </w:p>
    <w:p w14:paraId="298D395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（7）法律、行政法规和中国证监会规定禁止的其他活动。</w:t>
      </w:r>
    </w:p>
    <w:p w14:paraId="29DDDC2E" w14:textId="77777777" w:rsidR="00C52815" w:rsidRDefault="005C44F4">
      <w:pPr>
        <w:spacing w:line="360" w:lineRule="auto"/>
        <w:ind w:firstLineChars="200" w:firstLine="480"/>
        <w:rPr>
          <w:rFonts w:ascii="宋体" w:hAnsi="宋体" w:cs="Arial"/>
          <w:bCs/>
          <w:sz w:val="24"/>
        </w:rPr>
      </w:pPr>
      <w:r>
        <w:rPr>
          <w:rFonts w:ascii="宋体" w:hAnsi="宋体" w:cs="Arial" w:hint="eastAsia"/>
          <w:bCs/>
          <w:sz w:val="24"/>
        </w:rPr>
        <w:t>除标的指数成份股、备选成份股之外，</w:t>
      </w:r>
      <w:r>
        <w:rPr>
          <w:rFonts w:ascii="宋体" w:hAnsi="宋体" w:cs="Arial"/>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含三分之二）的独立董事通过。基金管理人董事会应至少每半年对关联交易事项进行审查。</w:t>
      </w:r>
    </w:p>
    <w:p w14:paraId="3F54AA2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3、法律法规或监管部门对本基金合同所述投资比例、投资限制、组合限制、禁止行为等</w:t>
      </w:r>
      <w:proofErr w:type="gramStart"/>
      <w:r>
        <w:rPr>
          <w:rFonts w:ascii="宋体" w:hAnsi="宋体" w:cs="Arial"/>
          <w:bCs/>
          <w:sz w:val="24"/>
        </w:rPr>
        <w:t>作出</w:t>
      </w:r>
      <w:proofErr w:type="gramEnd"/>
      <w:r>
        <w:rPr>
          <w:rFonts w:ascii="宋体" w:hAnsi="宋体" w:cs="Arial"/>
          <w:bCs/>
          <w:sz w:val="24"/>
        </w:rPr>
        <w:t>强制性调整的，本基金应当按照法律法规或监管部门的规定执行。</w:t>
      </w:r>
    </w:p>
    <w:p w14:paraId="2E11558B" w14:textId="264A311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w:t>
      </w:r>
      <w:r w:rsidR="00953BE9">
        <w:rPr>
          <w:rFonts w:ascii="宋体" w:hAnsi="宋体" w:cs="Arial" w:hint="eastAsia"/>
          <w:bCs/>
          <w:sz w:val="24"/>
        </w:rPr>
        <w:t>八</w:t>
      </w:r>
      <w:r>
        <w:rPr>
          <w:rFonts w:ascii="宋体" w:hAnsi="宋体" w:cs="Arial"/>
          <w:bCs/>
          <w:sz w:val="24"/>
        </w:rPr>
        <w:t>）基金管理人代表基金行使相关权利的处理原则及方法</w:t>
      </w:r>
    </w:p>
    <w:p w14:paraId="6A0B7D2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1、基金管理人按照国家有关规定代表基金独立行使相关权利，保护基金份额持有人的利益；</w:t>
      </w:r>
    </w:p>
    <w:p w14:paraId="55CC2757" w14:textId="6A110232" w:rsidR="00C52815" w:rsidRDefault="005C44F4">
      <w:pPr>
        <w:spacing w:line="360" w:lineRule="auto"/>
        <w:ind w:firstLineChars="200" w:firstLine="480"/>
        <w:rPr>
          <w:rFonts w:ascii="宋体" w:hAnsi="宋体" w:cs="Arial"/>
          <w:bCs/>
          <w:sz w:val="24"/>
        </w:rPr>
      </w:pPr>
      <w:r>
        <w:rPr>
          <w:rFonts w:ascii="宋体" w:hAnsi="宋体" w:cs="Arial"/>
          <w:bCs/>
          <w:sz w:val="24"/>
        </w:rPr>
        <w:t>2、不谋求对上市公司的控股；</w:t>
      </w:r>
    </w:p>
    <w:p w14:paraId="140E11F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3、有利于基金财产的安全与增值；</w:t>
      </w:r>
    </w:p>
    <w:p w14:paraId="7AD4170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4、不通过关联交易为自身、雇员、授权代理人或任何存在利害关系的第三人牟取任何不当利益。</w:t>
      </w:r>
    </w:p>
    <w:p w14:paraId="2B971F7D" w14:textId="77777777" w:rsidR="00B637B5" w:rsidRDefault="00B637B5">
      <w:pPr>
        <w:autoSpaceDE w:val="0"/>
        <w:autoSpaceDN w:val="0"/>
        <w:adjustRightInd w:val="0"/>
        <w:spacing w:line="360" w:lineRule="auto"/>
        <w:ind w:firstLineChars="225" w:firstLine="542"/>
        <w:jc w:val="left"/>
        <w:rPr>
          <w:rFonts w:ascii="宋体" w:hAnsi="宋体" w:cs="Arial"/>
          <w:b/>
          <w:bCs/>
          <w:sz w:val="24"/>
          <w:szCs w:val="24"/>
        </w:rPr>
      </w:pPr>
    </w:p>
    <w:p w14:paraId="35837F3E" w14:textId="795E23FA" w:rsidR="00C52815" w:rsidRDefault="005C44F4">
      <w:pPr>
        <w:autoSpaceDE w:val="0"/>
        <w:autoSpaceDN w:val="0"/>
        <w:adjustRightInd w:val="0"/>
        <w:spacing w:line="360" w:lineRule="auto"/>
        <w:ind w:firstLineChars="225" w:firstLine="542"/>
        <w:jc w:val="left"/>
        <w:rPr>
          <w:rFonts w:ascii="宋体" w:hAnsi="宋体" w:cs="Arial"/>
          <w:b/>
          <w:bCs/>
          <w:sz w:val="24"/>
          <w:szCs w:val="24"/>
        </w:rPr>
      </w:pPr>
      <w:r>
        <w:rPr>
          <w:rFonts w:ascii="宋体" w:hAnsi="宋体" w:cs="Arial"/>
          <w:b/>
          <w:bCs/>
          <w:sz w:val="24"/>
          <w:szCs w:val="24"/>
        </w:rPr>
        <w:t>六、基金资产净值的计算方法和公告方式</w:t>
      </w:r>
    </w:p>
    <w:p w14:paraId="10B54D5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（一）估值日</w:t>
      </w:r>
    </w:p>
    <w:p w14:paraId="1665821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本基金的估值日为本基金相关的证券交易场所的交易日以及国家法律法规规定需要对外披露基金净值的</w:t>
      </w:r>
      <w:proofErr w:type="gramStart"/>
      <w:r>
        <w:rPr>
          <w:rFonts w:ascii="宋体" w:hAnsi="宋体" w:cs="Arial"/>
          <w:bCs/>
          <w:sz w:val="24"/>
        </w:rPr>
        <w:t>非交易</w:t>
      </w:r>
      <w:proofErr w:type="gramEnd"/>
      <w:r>
        <w:rPr>
          <w:rFonts w:ascii="宋体" w:hAnsi="宋体" w:cs="Arial"/>
          <w:bCs/>
          <w:sz w:val="24"/>
        </w:rPr>
        <w:t>日。</w:t>
      </w:r>
    </w:p>
    <w:p w14:paraId="4F3D552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（二）估值对象</w:t>
      </w:r>
    </w:p>
    <w:p w14:paraId="7EF858A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基金所拥有的股票、债券和银行存款本息、应收款项、资产支持证券、股指期货合约、国债期货合约、股票期权合约、其它投资等资产及负债。</w:t>
      </w:r>
    </w:p>
    <w:p w14:paraId="186D4A2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（三）估值原则</w:t>
      </w:r>
    </w:p>
    <w:p w14:paraId="33C23AB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基金管理人在确定相关金融资产和金融负债的公允价值时，应符合《企业会计准则》、监管部门有关规定。</w:t>
      </w:r>
    </w:p>
    <w:p w14:paraId="3D527C8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0812EC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6EC3DF2"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011227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（四）估值方法</w:t>
      </w:r>
    </w:p>
    <w:p w14:paraId="2C64EA6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1、证券交易所上市的有价证券的估值</w:t>
      </w:r>
    </w:p>
    <w:p w14:paraId="3680645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695D0DD" w14:textId="02BF4DB5" w:rsidR="00C52815" w:rsidRDefault="005C44F4">
      <w:pPr>
        <w:spacing w:line="360" w:lineRule="auto"/>
        <w:ind w:firstLineChars="200" w:firstLine="480"/>
        <w:rPr>
          <w:rFonts w:ascii="宋体" w:hAnsi="宋体" w:cs="Arial"/>
          <w:bCs/>
          <w:sz w:val="24"/>
        </w:rPr>
      </w:pPr>
      <w:r>
        <w:rPr>
          <w:rFonts w:ascii="宋体" w:hAnsi="宋体" w:cs="Arial"/>
          <w:bCs/>
          <w:sz w:val="24"/>
        </w:rPr>
        <w:t>（2）交易所上市交易或挂牌转让的不含</w:t>
      </w:r>
      <w:proofErr w:type="gramStart"/>
      <w:r>
        <w:rPr>
          <w:rFonts w:ascii="宋体" w:hAnsi="宋体" w:cs="Arial"/>
          <w:bCs/>
          <w:sz w:val="24"/>
        </w:rPr>
        <w:t>权固定</w:t>
      </w:r>
      <w:proofErr w:type="gramEnd"/>
      <w:r>
        <w:rPr>
          <w:rFonts w:ascii="宋体" w:hAnsi="宋体" w:cs="Arial"/>
          <w:bCs/>
          <w:sz w:val="24"/>
        </w:rPr>
        <w:t>收益品种，选取估值日</w:t>
      </w:r>
      <w:r w:rsidR="00BA26FF">
        <w:rPr>
          <w:rFonts w:ascii="宋体" w:hAnsi="宋体" w:cs="Arial"/>
          <w:bCs/>
          <w:sz w:val="24"/>
        </w:rPr>
        <w:t>第三方估值基准服务机构</w:t>
      </w:r>
      <w:r>
        <w:rPr>
          <w:rFonts w:ascii="宋体" w:hAnsi="宋体" w:cs="Arial"/>
          <w:bCs/>
          <w:sz w:val="24"/>
        </w:rPr>
        <w:t>提供的相应品种当日的估值</w:t>
      </w:r>
      <w:r w:rsidR="00D75E91">
        <w:rPr>
          <w:rFonts w:ascii="宋体" w:hAnsi="宋体" w:cs="Arial" w:hint="eastAsia"/>
          <w:bCs/>
          <w:sz w:val="24"/>
        </w:rPr>
        <w:t>全</w:t>
      </w:r>
      <w:r>
        <w:rPr>
          <w:rFonts w:ascii="宋体" w:hAnsi="宋体" w:cs="Arial"/>
          <w:bCs/>
          <w:sz w:val="24"/>
        </w:rPr>
        <w:t>价进行估值；</w:t>
      </w:r>
    </w:p>
    <w:p w14:paraId="6C7AB321" w14:textId="0014CB09" w:rsidR="00C52815" w:rsidRDefault="005C44F4">
      <w:pPr>
        <w:spacing w:line="360" w:lineRule="auto"/>
        <w:ind w:firstLineChars="200" w:firstLine="480"/>
        <w:rPr>
          <w:rFonts w:ascii="宋体" w:hAnsi="宋体" w:cs="Arial"/>
          <w:bCs/>
          <w:sz w:val="24"/>
        </w:rPr>
      </w:pPr>
      <w:r>
        <w:rPr>
          <w:rFonts w:ascii="宋体" w:hAnsi="宋体" w:cs="Arial"/>
          <w:bCs/>
          <w:sz w:val="24"/>
        </w:rPr>
        <w:t>（3）交易所上市交易或挂牌转让的含</w:t>
      </w:r>
      <w:proofErr w:type="gramStart"/>
      <w:r>
        <w:rPr>
          <w:rFonts w:ascii="宋体" w:hAnsi="宋体" w:cs="Arial"/>
          <w:bCs/>
          <w:sz w:val="24"/>
        </w:rPr>
        <w:t>权固定</w:t>
      </w:r>
      <w:proofErr w:type="gramEnd"/>
      <w:r>
        <w:rPr>
          <w:rFonts w:ascii="宋体" w:hAnsi="宋体" w:cs="Arial"/>
          <w:bCs/>
          <w:sz w:val="24"/>
        </w:rPr>
        <w:t>收益品种，选取估值日</w:t>
      </w:r>
      <w:r w:rsidR="00BA26FF">
        <w:rPr>
          <w:rFonts w:ascii="宋体" w:hAnsi="宋体" w:cs="Arial"/>
          <w:bCs/>
          <w:sz w:val="24"/>
        </w:rPr>
        <w:t>第三方估值基准服务机构</w:t>
      </w:r>
      <w:r>
        <w:rPr>
          <w:rFonts w:ascii="宋体" w:hAnsi="宋体" w:cs="Arial"/>
          <w:bCs/>
          <w:sz w:val="24"/>
        </w:rPr>
        <w:t>提供的相应品种当日的唯一估值</w:t>
      </w:r>
      <w:r w:rsidR="00D75E91">
        <w:rPr>
          <w:rFonts w:ascii="宋体" w:hAnsi="宋体" w:cs="Arial" w:hint="eastAsia"/>
          <w:bCs/>
          <w:sz w:val="24"/>
        </w:rPr>
        <w:t>全</w:t>
      </w:r>
      <w:r>
        <w:rPr>
          <w:rFonts w:ascii="宋体" w:hAnsi="宋体" w:cs="Arial"/>
          <w:bCs/>
          <w:sz w:val="24"/>
        </w:rPr>
        <w:t>价或推荐估值</w:t>
      </w:r>
      <w:r w:rsidR="00D75E91">
        <w:rPr>
          <w:rFonts w:ascii="宋体" w:hAnsi="宋体" w:cs="Arial" w:hint="eastAsia"/>
          <w:bCs/>
          <w:sz w:val="24"/>
        </w:rPr>
        <w:t>全</w:t>
      </w:r>
      <w:r>
        <w:rPr>
          <w:rFonts w:ascii="宋体" w:hAnsi="宋体" w:cs="Arial"/>
          <w:bCs/>
          <w:sz w:val="24"/>
        </w:rPr>
        <w:t>价进行估值；</w:t>
      </w:r>
    </w:p>
    <w:p w14:paraId="1C49EEAC" w14:textId="77777777" w:rsidR="00ED307C" w:rsidRPr="00ED307C" w:rsidRDefault="005C44F4" w:rsidP="00ED307C">
      <w:pPr>
        <w:spacing w:line="360" w:lineRule="auto"/>
        <w:ind w:firstLineChars="200" w:firstLine="480"/>
        <w:rPr>
          <w:bCs/>
          <w:sz w:val="24"/>
        </w:rPr>
      </w:pPr>
      <w:r>
        <w:rPr>
          <w:rFonts w:ascii="宋体" w:hAnsi="宋体" w:cs="Arial"/>
          <w:bCs/>
          <w:sz w:val="24"/>
        </w:rPr>
        <w:t>（4）</w:t>
      </w:r>
      <w:r w:rsidR="00851DFA" w:rsidRPr="00503846">
        <w:rPr>
          <w:rFonts w:hint="eastAsia"/>
          <w:bCs/>
          <w:sz w:val="24"/>
        </w:rPr>
        <w:t>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r w:rsidR="00ED307C" w:rsidRPr="00ED307C">
        <w:rPr>
          <w:rFonts w:hint="eastAsia"/>
          <w:bCs/>
          <w:sz w:val="24"/>
        </w:rPr>
        <w:t>；</w:t>
      </w:r>
    </w:p>
    <w:p w14:paraId="7CF9C86E" w14:textId="074A0125" w:rsidR="00851DFA" w:rsidRDefault="00ED307C" w:rsidP="00ED307C">
      <w:pPr>
        <w:spacing w:line="360" w:lineRule="auto"/>
        <w:ind w:firstLineChars="200" w:firstLine="480"/>
        <w:rPr>
          <w:bCs/>
          <w:sz w:val="24"/>
        </w:rPr>
      </w:pPr>
      <w:r w:rsidRPr="00ED307C">
        <w:rPr>
          <w:rFonts w:hint="eastAsia"/>
          <w:bCs/>
          <w:sz w:val="24"/>
        </w:rPr>
        <w:t>（</w:t>
      </w:r>
      <w:r w:rsidRPr="00ED307C">
        <w:rPr>
          <w:rFonts w:hint="eastAsia"/>
          <w:bCs/>
          <w:sz w:val="24"/>
        </w:rPr>
        <w:t>5</w:t>
      </w:r>
      <w:r w:rsidRPr="00ED307C">
        <w:rPr>
          <w:rFonts w:hint="eastAsia"/>
          <w:bCs/>
          <w:sz w:val="24"/>
        </w:rPr>
        <w:t>）交易所上市不存在活跃市场的有价证券，采用估值技术确定公允价值。</w:t>
      </w:r>
    </w:p>
    <w:p w14:paraId="5F57F0B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2、处于未上市期间的有价证券应区分如下情况处理：</w:t>
      </w:r>
    </w:p>
    <w:p w14:paraId="4BBAA67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（1）送股、转增股、配股和公开增发的新股，按估值日在证券交易所挂牌的同一股票的估值方法估值；该日无交易的，以最近一日的市价（收盘价）估值；</w:t>
      </w:r>
    </w:p>
    <w:p w14:paraId="5292464E" w14:textId="4B2DC9C6" w:rsidR="00C52815" w:rsidRDefault="005C44F4">
      <w:pPr>
        <w:spacing w:line="360" w:lineRule="auto"/>
        <w:ind w:firstLineChars="200" w:firstLine="480"/>
        <w:rPr>
          <w:rFonts w:ascii="宋体" w:hAnsi="宋体" w:cs="Arial"/>
          <w:bCs/>
          <w:sz w:val="24"/>
        </w:rPr>
      </w:pPr>
      <w:r>
        <w:rPr>
          <w:rFonts w:ascii="宋体" w:hAnsi="宋体" w:cs="Arial"/>
          <w:bCs/>
          <w:sz w:val="24"/>
        </w:rPr>
        <w:t>（2）首次公开发行未上市的股票，采用估值技术确定公允价值；</w:t>
      </w:r>
    </w:p>
    <w:p w14:paraId="509FF4F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cs="Arial"/>
          <w:bCs/>
          <w:sz w:val="24"/>
        </w:rPr>
        <w:t>券</w:t>
      </w:r>
      <w:proofErr w:type="gramEnd"/>
      <w:r>
        <w:rPr>
          <w:rFonts w:ascii="宋体" w:hAnsi="宋体" w:cs="Arial"/>
          <w:bCs/>
          <w:sz w:val="24"/>
        </w:rPr>
        <w:t>等流通受限股票，</w:t>
      </w:r>
      <w:r>
        <w:rPr>
          <w:rFonts w:ascii="宋体" w:hAnsi="宋体" w:cs="Arial"/>
          <w:bCs/>
          <w:sz w:val="24"/>
        </w:rPr>
        <w:lastRenderedPageBreak/>
        <w:t>按监管机构或行业协会有关规定确定公允价值。</w:t>
      </w:r>
    </w:p>
    <w:p w14:paraId="23850D95" w14:textId="39E00001" w:rsidR="00C52815" w:rsidRDefault="005C44F4">
      <w:pPr>
        <w:spacing w:line="360" w:lineRule="auto"/>
        <w:ind w:firstLineChars="200" w:firstLine="480"/>
        <w:rPr>
          <w:rFonts w:ascii="宋体" w:hAnsi="宋体" w:cs="Arial"/>
          <w:bCs/>
          <w:sz w:val="24"/>
        </w:rPr>
      </w:pPr>
      <w:r>
        <w:rPr>
          <w:rFonts w:ascii="宋体" w:hAnsi="宋体" w:cs="Arial"/>
          <w:bCs/>
          <w:sz w:val="24"/>
        </w:rPr>
        <w:t>3、对全国银行间市场上不含权的固定收益品种，按照</w:t>
      </w:r>
      <w:r w:rsidR="00BA26FF">
        <w:rPr>
          <w:rFonts w:ascii="宋体" w:hAnsi="宋体" w:cs="Arial"/>
          <w:bCs/>
          <w:sz w:val="24"/>
        </w:rPr>
        <w:t>第三方估值基准服务机构</w:t>
      </w:r>
      <w:r>
        <w:rPr>
          <w:rFonts w:ascii="宋体" w:hAnsi="宋体" w:cs="Arial"/>
          <w:bCs/>
          <w:sz w:val="24"/>
        </w:rPr>
        <w:t>提供的相应品种当日的估值</w:t>
      </w:r>
      <w:r w:rsidR="00D75E91">
        <w:rPr>
          <w:rFonts w:ascii="宋体" w:hAnsi="宋体" w:cs="Arial" w:hint="eastAsia"/>
          <w:bCs/>
          <w:sz w:val="24"/>
        </w:rPr>
        <w:t>全</w:t>
      </w:r>
      <w:r>
        <w:rPr>
          <w:rFonts w:ascii="宋体" w:hAnsi="宋体" w:cs="Arial"/>
          <w:bCs/>
          <w:sz w:val="24"/>
        </w:rPr>
        <w:t>价估值。对银行间市场上含权的固定收益品种，按照</w:t>
      </w:r>
      <w:r w:rsidR="00BA26FF">
        <w:rPr>
          <w:rFonts w:ascii="宋体" w:hAnsi="宋体" w:cs="Arial"/>
          <w:bCs/>
          <w:sz w:val="24"/>
        </w:rPr>
        <w:t>第三方估值基准服务机构</w:t>
      </w:r>
      <w:r>
        <w:rPr>
          <w:rFonts w:ascii="宋体" w:hAnsi="宋体" w:cs="Arial"/>
          <w:bCs/>
          <w:sz w:val="24"/>
        </w:rPr>
        <w:t>提供的相应品种当日的唯一估值</w:t>
      </w:r>
      <w:r w:rsidR="00D75E91">
        <w:rPr>
          <w:rFonts w:ascii="宋体" w:hAnsi="宋体" w:cs="Arial" w:hint="eastAsia"/>
          <w:bCs/>
          <w:sz w:val="24"/>
        </w:rPr>
        <w:t>全</w:t>
      </w:r>
      <w:r>
        <w:rPr>
          <w:rFonts w:ascii="宋体" w:hAnsi="宋体" w:cs="Arial"/>
          <w:bCs/>
          <w:sz w:val="24"/>
        </w:rPr>
        <w:t>价或推荐估值</w:t>
      </w:r>
      <w:r w:rsidR="00D75E91">
        <w:rPr>
          <w:rFonts w:ascii="宋体" w:hAnsi="宋体" w:cs="Arial" w:hint="eastAsia"/>
          <w:bCs/>
          <w:sz w:val="24"/>
        </w:rPr>
        <w:t>全</w:t>
      </w:r>
      <w:r>
        <w:rPr>
          <w:rFonts w:ascii="宋体" w:hAnsi="宋体" w:cs="Arial"/>
          <w:bCs/>
          <w:sz w:val="24"/>
        </w:rPr>
        <w:t>价估值。对银行间市场未上市，且</w:t>
      </w:r>
      <w:r w:rsidR="00BA26FF">
        <w:rPr>
          <w:rFonts w:ascii="宋体" w:hAnsi="宋体" w:cs="Arial"/>
          <w:bCs/>
          <w:sz w:val="24"/>
        </w:rPr>
        <w:t>第三方估值基准服务机构</w:t>
      </w:r>
      <w:r>
        <w:rPr>
          <w:rFonts w:ascii="宋体" w:hAnsi="宋体" w:cs="Arial"/>
          <w:bCs/>
          <w:sz w:val="24"/>
        </w:rPr>
        <w:t>未提供估值价格的债券，</w:t>
      </w:r>
      <w:r>
        <w:rPr>
          <w:rFonts w:ascii="宋体" w:hAnsi="宋体" w:cs="Arial" w:hint="eastAsia"/>
          <w:bCs/>
          <w:sz w:val="24"/>
        </w:rPr>
        <w:t>应采用估值技术确定其公允价值</w:t>
      </w:r>
      <w:r>
        <w:rPr>
          <w:rFonts w:ascii="宋体" w:hAnsi="宋体" w:cs="Arial"/>
          <w:bCs/>
          <w:sz w:val="24"/>
        </w:rPr>
        <w:t>。</w:t>
      </w:r>
    </w:p>
    <w:p w14:paraId="04DEB06E" w14:textId="77777777" w:rsidR="00F43238" w:rsidRPr="00CD25B0" w:rsidRDefault="00F43238" w:rsidP="00F43238">
      <w:pPr>
        <w:spacing w:line="360" w:lineRule="auto"/>
        <w:ind w:firstLineChars="200" w:firstLine="480"/>
        <w:rPr>
          <w:rFonts w:ascii="宋体" w:hAnsi="宋体" w:cs="Arial"/>
          <w:bCs/>
          <w:sz w:val="24"/>
        </w:rPr>
      </w:pPr>
      <w:r w:rsidRPr="00CD25B0">
        <w:rPr>
          <w:rFonts w:ascii="宋体" w:hAnsi="宋体" w:cs="Arial" w:hint="eastAsia"/>
          <w:bCs/>
          <w:sz w:val="24"/>
        </w:rPr>
        <w:t>4、对于含投资人回售权的固定收益品种，行使回售权的，在回售登记日至实际收款日期间采用第三方估值基准服务机构提供的相应品种的唯一估值全价或推荐估值全价估值。回售登记期截止日（含当日）后未行使回售权的按照长待偿期所对应的价格进行估值。</w:t>
      </w:r>
    </w:p>
    <w:p w14:paraId="6E232E6B" w14:textId="1121D4BE" w:rsidR="00F43238" w:rsidRDefault="00F43238" w:rsidP="00F43238">
      <w:pPr>
        <w:spacing w:line="360" w:lineRule="auto"/>
        <w:ind w:firstLineChars="200" w:firstLine="480"/>
        <w:rPr>
          <w:rFonts w:ascii="宋体" w:hAnsi="宋体" w:cs="Arial"/>
          <w:bCs/>
          <w:sz w:val="24"/>
        </w:rPr>
      </w:pPr>
      <w:r w:rsidRPr="00CD25B0">
        <w:rPr>
          <w:rFonts w:ascii="宋体" w:hAnsi="宋体" w:cs="Arial" w:hint="eastAsia"/>
          <w:bCs/>
          <w:sz w:val="24"/>
        </w:rPr>
        <w:t>5、对于未上市或未挂牌转让且不存在活跃市场的固定收益品种，应采用在当前情况下适用并且有足够可利用数据和其他信息支持的估值技术确定其公允价值。</w:t>
      </w:r>
    </w:p>
    <w:p w14:paraId="59EB4A93" w14:textId="391CDD8D" w:rsidR="000418BD" w:rsidRDefault="000418BD" w:rsidP="00F43238">
      <w:pPr>
        <w:spacing w:line="360" w:lineRule="auto"/>
        <w:ind w:firstLineChars="200" w:firstLine="480"/>
        <w:rPr>
          <w:rFonts w:ascii="宋体" w:hAnsi="宋体" w:cs="Arial"/>
          <w:bCs/>
          <w:sz w:val="24"/>
        </w:rPr>
      </w:pPr>
      <w:r w:rsidRPr="000418BD">
        <w:rPr>
          <w:rFonts w:ascii="宋体" w:hAnsi="宋体" w:cs="Arial" w:hint="eastAsia"/>
          <w:bCs/>
          <w:sz w:val="24"/>
        </w:rPr>
        <w:t>6、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4266D7E8" w14:textId="616D0479" w:rsidR="00C52815" w:rsidRDefault="000418BD">
      <w:pPr>
        <w:spacing w:line="360" w:lineRule="auto"/>
        <w:ind w:firstLineChars="200" w:firstLine="480"/>
        <w:rPr>
          <w:rFonts w:ascii="宋体" w:hAnsi="宋体" w:cs="Arial"/>
          <w:bCs/>
          <w:sz w:val="24"/>
        </w:rPr>
      </w:pPr>
      <w:r>
        <w:rPr>
          <w:rFonts w:ascii="宋体" w:hAnsi="宋体" w:cs="Arial"/>
          <w:bCs/>
          <w:sz w:val="24"/>
        </w:rPr>
        <w:t>7</w:t>
      </w:r>
      <w:r w:rsidR="005C44F4">
        <w:rPr>
          <w:rFonts w:ascii="宋体" w:hAnsi="宋体" w:cs="Arial"/>
          <w:bCs/>
          <w:sz w:val="24"/>
        </w:rPr>
        <w:t>、同一证券同时在两个或两个以上市场交易的，按证券所处的市场分别估值。</w:t>
      </w:r>
    </w:p>
    <w:p w14:paraId="7E75C3C2" w14:textId="2E517531" w:rsidR="00C52815" w:rsidRDefault="000418BD">
      <w:pPr>
        <w:spacing w:line="360" w:lineRule="auto"/>
        <w:ind w:firstLineChars="200" w:firstLine="480"/>
        <w:rPr>
          <w:rFonts w:ascii="宋体" w:hAnsi="宋体" w:cs="Arial"/>
          <w:bCs/>
          <w:sz w:val="24"/>
        </w:rPr>
      </w:pPr>
      <w:r>
        <w:rPr>
          <w:rFonts w:ascii="宋体" w:hAnsi="宋体" w:cs="Arial"/>
          <w:bCs/>
          <w:sz w:val="24"/>
        </w:rPr>
        <w:t>8</w:t>
      </w:r>
      <w:r w:rsidR="005C44F4">
        <w:rPr>
          <w:rFonts w:ascii="宋体" w:hAnsi="宋体" w:cs="Arial"/>
          <w:bCs/>
          <w:sz w:val="24"/>
        </w:rPr>
        <w:t>、本基金投资股指期货、国债期货合约，一般以估值当日结算价进行估值，估值当日无结算价的，且最近交易日后经济环境未发生重大变化的，采用最近交易日结算价估值。</w:t>
      </w:r>
    </w:p>
    <w:p w14:paraId="06E3D99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本基金投资股票期权，根据相关法律法规以及监管部门的规定估值。</w:t>
      </w:r>
    </w:p>
    <w:p w14:paraId="6E1E85AF" w14:textId="0609AD79" w:rsidR="00C52815" w:rsidRDefault="000418BD">
      <w:pPr>
        <w:spacing w:line="360" w:lineRule="auto"/>
        <w:ind w:firstLineChars="200" w:firstLine="480"/>
        <w:rPr>
          <w:rFonts w:ascii="宋体" w:hAnsi="宋体" w:cs="Arial"/>
          <w:bCs/>
          <w:sz w:val="24"/>
        </w:rPr>
      </w:pPr>
      <w:r>
        <w:rPr>
          <w:rFonts w:ascii="宋体" w:hAnsi="宋体" w:cs="Arial"/>
          <w:bCs/>
          <w:sz w:val="24"/>
        </w:rPr>
        <w:t>9</w:t>
      </w:r>
      <w:r w:rsidR="005C44F4">
        <w:rPr>
          <w:rFonts w:ascii="宋体" w:hAnsi="宋体" w:cs="Arial"/>
          <w:bCs/>
          <w:sz w:val="24"/>
        </w:rPr>
        <w:t>、本基金参与融资和转融通证券出借业务，按照相关法律法规和行业协会的相关规定进行估值。</w:t>
      </w:r>
    </w:p>
    <w:p w14:paraId="23FB8E00" w14:textId="11883AD1" w:rsidR="00C52815" w:rsidRDefault="000418BD">
      <w:pPr>
        <w:spacing w:line="360" w:lineRule="auto"/>
        <w:ind w:firstLineChars="200" w:firstLine="480"/>
        <w:rPr>
          <w:rFonts w:ascii="宋体" w:hAnsi="宋体" w:cs="Arial"/>
          <w:bCs/>
          <w:sz w:val="24"/>
        </w:rPr>
      </w:pPr>
      <w:r>
        <w:rPr>
          <w:rFonts w:ascii="宋体" w:hAnsi="宋体" w:cs="Arial"/>
          <w:bCs/>
          <w:sz w:val="24"/>
        </w:rPr>
        <w:t>10</w:t>
      </w:r>
      <w:r w:rsidR="005C44F4">
        <w:rPr>
          <w:rFonts w:ascii="宋体" w:hAnsi="宋体" w:cs="Arial"/>
          <w:bCs/>
          <w:sz w:val="24"/>
        </w:rPr>
        <w:t>、本基金投资同业存单，按估值日</w:t>
      </w:r>
      <w:r w:rsidR="00BA26FF">
        <w:rPr>
          <w:rFonts w:ascii="宋体" w:hAnsi="宋体" w:cs="Arial"/>
          <w:bCs/>
          <w:sz w:val="24"/>
        </w:rPr>
        <w:t>第三方估值基准服务机构</w:t>
      </w:r>
      <w:r w:rsidR="005C44F4">
        <w:rPr>
          <w:rFonts w:ascii="宋体" w:hAnsi="宋体" w:cs="Arial"/>
          <w:bCs/>
          <w:sz w:val="24"/>
        </w:rPr>
        <w:t>提供的估值</w:t>
      </w:r>
      <w:r w:rsidR="00D75E91">
        <w:rPr>
          <w:rFonts w:ascii="宋体" w:hAnsi="宋体" w:cs="Arial" w:hint="eastAsia"/>
          <w:bCs/>
          <w:sz w:val="24"/>
        </w:rPr>
        <w:t>全</w:t>
      </w:r>
      <w:r w:rsidR="005C44F4">
        <w:rPr>
          <w:rFonts w:ascii="宋体" w:hAnsi="宋体" w:cs="Arial"/>
          <w:bCs/>
          <w:sz w:val="24"/>
        </w:rPr>
        <w:t>价估值；选定的</w:t>
      </w:r>
      <w:r w:rsidR="00BA26FF">
        <w:rPr>
          <w:rFonts w:ascii="宋体" w:hAnsi="宋体" w:cs="Arial"/>
          <w:bCs/>
          <w:sz w:val="24"/>
        </w:rPr>
        <w:t>第三方估值基准服务机构</w:t>
      </w:r>
      <w:r w:rsidR="005C44F4">
        <w:rPr>
          <w:rFonts w:ascii="宋体" w:hAnsi="宋体" w:cs="Arial"/>
          <w:bCs/>
          <w:sz w:val="24"/>
        </w:rPr>
        <w:t>未提供估值价格的，</w:t>
      </w:r>
      <w:r w:rsidR="005C44F4">
        <w:rPr>
          <w:rFonts w:ascii="宋体" w:hAnsi="宋体" w:cs="Arial" w:hint="eastAsia"/>
          <w:bCs/>
          <w:sz w:val="24"/>
        </w:rPr>
        <w:t>应采用估值技术确定其公允价值</w:t>
      </w:r>
      <w:r w:rsidR="005C44F4">
        <w:rPr>
          <w:rFonts w:ascii="宋体" w:hAnsi="宋体" w:cs="Arial"/>
          <w:bCs/>
          <w:sz w:val="24"/>
        </w:rPr>
        <w:t>。</w:t>
      </w:r>
    </w:p>
    <w:p w14:paraId="0483608F" w14:textId="5D1522CA" w:rsidR="00C52815" w:rsidRDefault="00EB55B5">
      <w:pPr>
        <w:spacing w:line="360" w:lineRule="auto"/>
        <w:ind w:firstLineChars="200" w:firstLine="480"/>
        <w:rPr>
          <w:rFonts w:ascii="宋体" w:hAnsi="宋体" w:cs="Arial"/>
          <w:bCs/>
          <w:sz w:val="24"/>
        </w:rPr>
      </w:pPr>
      <w:r>
        <w:rPr>
          <w:rFonts w:ascii="宋体" w:hAnsi="宋体" w:cs="Arial"/>
          <w:bCs/>
          <w:sz w:val="24"/>
        </w:rPr>
        <w:lastRenderedPageBreak/>
        <w:t>1</w:t>
      </w:r>
      <w:r w:rsidR="000418BD">
        <w:rPr>
          <w:rFonts w:ascii="宋体" w:hAnsi="宋体" w:cs="Arial"/>
          <w:bCs/>
          <w:sz w:val="24"/>
        </w:rPr>
        <w:t>1</w:t>
      </w:r>
      <w:r w:rsidR="005C44F4">
        <w:rPr>
          <w:rFonts w:ascii="宋体" w:hAnsi="宋体" w:cs="Arial"/>
          <w:bCs/>
          <w:sz w:val="24"/>
        </w:rPr>
        <w:t>、本基金投资存托凭证的估值核算，依照国内依法发行上市的股票执行。</w:t>
      </w:r>
    </w:p>
    <w:p w14:paraId="3F1BF729" w14:textId="171F543B" w:rsidR="00C52815" w:rsidRDefault="00E6432B" w:rsidP="00041270">
      <w:pPr>
        <w:spacing w:line="360" w:lineRule="auto"/>
        <w:ind w:firstLineChars="200" w:firstLine="480"/>
        <w:rPr>
          <w:rFonts w:ascii="宋体" w:hAnsi="宋体" w:cs="Arial"/>
          <w:bCs/>
          <w:sz w:val="24"/>
        </w:rPr>
      </w:pPr>
      <w:r w:rsidRPr="000522A1">
        <w:rPr>
          <w:rFonts w:ascii="宋体" w:hAnsi="宋体" w:cs="Arial" w:hint="eastAsia"/>
          <w:bCs/>
          <w:sz w:val="24"/>
        </w:rPr>
        <w:t>12、</w:t>
      </w:r>
      <w:r w:rsidR="005C44F4">
        <w:rPr>
          <w:rFonts w:ascii="宋体" w:hAnsi="宋体" w:cs="Arial" w:hint="eastAsia"/>
          <w:bCs/>
          <w:sz w:val="24"/>
        </w:rPr>
        <w:t>估值计算中涉及港币对人民币汇率的，将依据下列信息提供机构所提供的汇率为基准：当日中国人民银行公布的人民币与港币的中间价。</w:t>
      </w:r>
    </w:p>
    <w:p w14:paraId="2EE5B5FD" w14:textId="77777777" w:rsidR="00C52815" w:rsidRDefault="005C44F4">
      <w:pPr>
        <w:spacing w:line="360" w:lineRule="auto"/>
        <w:ind w:firstLineChars="200" w:firstLine="480"/>
        <w:rPr>
          <w:rFonts w:ascii="宋体" w:hAnsi="宋体" w:cs="Arial"/>
          <w:bCs/>
          <w:sz w:val="24"/>
        </w:rPr>
      </w:pPr>
      <w:r>
        <w:rPr>
          <w:rFonts w:ascii="宋体" w:hAnsi="宋体" w:cs="Arial"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D83796F" w14:textId="5A2D6EE0" w:rsidR="00C52815" w:rsidRDefault="000474BD">
      <w:pPr>
        <w:spacing w:line="360" w:lineRule="auto"/>
        <w:ind w:firstLineChars="200" w:firstLine="480"/>
        <w:rPr>
          <w:rFonts w:ascii="宋体" w:hAnsi="宋体" w:cs="Arial"/>
          <w:bCs/>
          <w:sz w:val="24"/>
        </w:rPr>
      </w:pPr>
      <w:r>
        <w:rPr>
          <w:rFonts w:ascii="宋体" w:hAnsi="宋体" w:cs="Arial" w:hint="eastAsia"/>
          <w:bCs/>
          <w:sz w:val="24"/>
        </w:rPr>
        <w:t>1</w:t>
      </w:r>
      <w:r w:rsidR="00041270">
        <w:rPr>
          <w:rFonts w:ascii="宋体" w:hAnsi="宋体" w:cs="Arial"/>
          <w:bCs/>
          <w:sz w:val="24"/>
        </w:rPr>
        <w:t>3</w:t>
      </w:r>
      <w:r w:rsidR="005C44F4">
        <w:rPr>
          <w:rFonts w:ascii="宋体" w:hAnsi="宋体" w:cs="Arial" w:hint="eastAsia"/>
          <w:bCs/>
          <w:sz w:val="24"/>
        </w:rPr>
        <w:t>、</w:t>
      </w:r>
      <w:r w:rsidR="00D02C8C" w:rsidRPr="00D02C8C">
        <w:rPr>
          <w:rFonts w:ascii="宋体" w:hAnsi="宋体" w:cs="Arial" w:hint="eastAsia"/>
          <w:bCs/>
          <w:sz w:val="24"/>
        </w:rPr>
        <w:t>本基金可以采用第三方估值机构按照上述公允价值确定原则提供的估值价格数据。</w:t>
      </w:r>
      <w:r w:rsidR="005C44F4">
        <w:rPr>
          <w:rFonts w:ascii="宋体" w:hAnsi="宋体" w:cs="Arial"/>
          <w:bCs/>
          <w:sz w:val="24"/>
        </w:rPr>
        <w:t>如有确凿证据表明按上述方法进行估值不能客观反映其公允价值的，基金管理人可根据具体情况与基金托管人商定后，按最能反映公允价值的价格估值。</w:t>
      </w:r>
    </w:p>
    <w:p w14:paraId="77D67EF2" w14:textId="6FEC807A" w:rsidR="00C52815" w:rsidRDefault="000474BD">
      <w:pPr>
        <w:spacing w:line="360" w:lineRule="auto"/>
        <w:ind w:firstLineChars="200" w:firstLine="480"/>
        <w:rPr>
          <w:rFonts w:ascii="宋体" w:hAnsi="宋体" w:cs="Arial"/>
          <w:bCs/>
          <w:sz w:val="24"/>
        </w:rPr>
      </w:pPr>
      <w:r>
        <w:rPr>
          <w:rFonts w:ascii="宋体" w:hAnsi="宋体" w:cs="Arial"/>
          <w:bCs/>
          <w:sz w:val="24"/>
        </w:rPr>
        <w:t>1</w:t>
      </w:r>
      <w:r w:rsidR="00041270">
        <w:rPr>
          <w:rFonts w:ascii="宋体" w:hAnsi="宋体" w:cs="Arial"/>
          <w:bCs/>
          <w:sz w:val="24"/>
        </w:rPr>
        <w:t>4</w:t>
      </w:r>
      <w:r w:rsidR="005C44F4">
        <w:rPr>
          <w:rFonts w:ascii="宋体" w:hAnsi="宋体" w:cs="Arial"/>
          <w:bCs/>
          <w:sz w:val="24"/>
        </w:rPr>
        <w:t>、相关法律法规以及监管部门有强制规定的，从其规定。如有新增事项，按国家最新规定估值。</w:t>
      </w:r>
    </w:p>
    <w:p w14:paraId="7AD11221" w14:textId="77777777" w:rsidR="00C52815" w:rsidRDefault="005C44F4">
      <w:pPr>
        <w:spacing w:line="360" w:lineRule="auto"/>
        <w:ind w:firstLineChars="200" w:firstLine="480"/>
        <w:rPr>
          <w:rStyle w:val="read"/>
          <w:rFonts w:ascii="宋体" w:hAnsi="宋体" w:cs="Arial"/>
          <w:bCs/>
          <w:sz w:val="24"/>
        </w:rPr>
      </w:pPr>
      <w:r>
        <w:rPr>
          <w:rStyle w:val="read"/>
          <w:rFonts w:ascii="宋体" w:hAnsi="宋体" w:cs="Arial"/>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1B184E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的会计责任方由基金管理人担任，负责基金净值计算和基金会计核算，就与本基金有关的会计问题，如经相关各方在平等基础上充分讨论后，仍无法达成一致的意见，按照基金管理人对基金净值信息的计算结果对外予以公布。</w:t>
      </w:r>
    </w:p>
    <w:p w14:paraId="5243A68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（五）估值程序</w:t>
      </w:r>
    </w:p>
    <w:p w14:paraId="0859178A" w14:textId="2D2014DC" w:rsidR="00C52815" w:rsidRDefault="005C44F4">
      <w:pPr>
        <w:spacing w:line="360" w:lineRule="auto"/>
        <w:ind w:firstLineChars="200" w:firstLine="480"/>
        <w:rPr>
          <w:rFonts w:ascii="宋体" w:hAnsi="宋体" w:cs="Arial"/>
          <w:bCs/>
          <w:sz w:val="24"/>
        </w:rPr>
      </w:pPr>
      <w:r>
        <w:rPr>
          <w:rFonts w:ascii="宋体" w:hAnsi="宋体" w:cs="Arial"/>
          <w:bCs/>
          <w:sz w:val="24"/>
        </w:rPr>
        <w:t>1、基金份额净值是按照每个</w:t>
      </w:r>
      <w:r w:rsidR="000474BD">
        <w:rPr>
          <w:rFonts w:ascii="宋体" w:hAnsi="宋体" w:cs="Arial" w:hint="eastAsia"/>
          <w:bCs/>
          <w:sz w:val="24"/>
        </w:rPr>
        <w:t>工作日</w:t>
      </w:r>
      <w:r>
        <w:rPr>
          <w:rFonts w:ascii="宋体" w:hAnsi="宋体" w:cs="Arial"/>
          <w:bCs/>
          <w:sz w:val="24"/>
        </w:rPr>
        <w:t>闭市后，基金资产净值除以当日基金份额的余额数量计算，精确到0.0001元，小数点后第5位四舍五入，由此产生的收益或损失由基金财产承担。基金管理人可以设立大额赎回情形下的净值精度应急调整机制。国家另有规定的，从其规定。</w:t>
      </w:r>
    </w:p>
    <w:p w14:paraId="5CE8B1F8" w14:textId="4D591316" w:rsidR="00C52815" w:rsidRDefault="005C44F4">
      <w:pPr>
        <w:spacing w:line="360" w:lineRule="auto"/>
        <w:ind w:firstLineChars="200" w:firstLine="480"/>
        <w:rPr>
          <w:rFonts w:ascii="宋体" w:hAnsi="宋体" w:cs="Arial"/>
          <w:bCs/>
          <w:sz w:val="24"/>
        </w:rPr>
      </w:pPr>
      <w:r>
        <w:rPr>
          <w:rFonts w:ascii="宋体" w:hAnsi="宋体" w:cs="Arial"/>
          <w:bCs/>
          <w:sz w:val="24"/>
        </w:rPr>
        <w:t>2、基金管理人</w:t>
      </w:r>
      <w:proofErr w:type="gramStart"/>
      <w:r>
        <w:rPr>
          <w:rFonts w:ascii="宋体" w:hAnsi="宋体" w:cs="Arial"/>
          <w:bCs/>
          <w:sz w:val="24"/>
        </w:rPr>
        <w:t>应每个</w:t>
      </w:r>
      <w:proofErr w:type="gramEnd"/>
      <w:r w:rsidR="000474BD">
        <w:rPr>
          <w:rFonts w:ascii="宋体" w:hAnsi="宋体" w:cs="Arial" w:hint="eastAsia"/>
          <w:bCs/>
          <w:sz w:val="24"/>
        </w:rPr>
        <w:t>工作日</w:t>
      </w:r>
      <w:r>
        <w:rPr>
          <w:rFonts w:ascii="宋体" w:hAnsi="宋体" w:cs="Arial"/>
          <w:bCs/>
          <w:sz w:val="24"/>
        </w:rPr>
        <w:t>对基金资产估值。但基金管理人根据法律法规或本基金合同的规定暂停估值时除外。基金管理人每个</w:t>
      </w:r>
      <w:r w:rsidR="000474BD">
        <w:rPr>
          <w:rFonts w:ascii="宋体" w:hAnsi="宋体" w:cs="Arial" w:hint="eastAsia"/>
          <w:bCs/>
          <w:sz w:val="24"/>
        </w:rPr>
        <w:t>工作日</w:t>
      </w:r>
      <w:r>
        <w:rPr>
          <w:rFonts w:ascii="宋体" w:hAnsi="宋体" w:cs="Arial"/>
          <w:bCs/>
          <w:sz w:val="24"/>
        </w:rPr>
        <w:t>对基金资产估值后，将基金份额净值结果发送基金托管人，经基金托管人复核无误后，由基金</w:t>
      </w:r>
      <w:r>
        <w:rPr>
          <w:rFonts w:ascii="宋体" w:hAnsi="宋体" w:cs="Arial"/>
          <w:bCs/>
          <w:sz w:val="24"/>
        </w:rPr>
        <w:lastRenderedPageBreak/>
        <w:t>管理人按照规定对外公布。</w:t>
      </w:r>
    </w:p>
    <w:p w14:paraId="660050B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（六）估值错误的处理</w:t>
      </w:r>
    </w:p>
    <w:p w14:paraId="352512E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基金管理人和基金托管人将采取必要、适当、合理的措施确保基金资产估值的准确性、及时性。当基金份额净值小数点后4位以内(含第4位)发生估值错误时，视为基金份额净值错误。</w:t>
      </w:r>
    </w:p>
    <w:p w14:paraId="6A524DD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本基金合同的当事人应按照以下约定处理：</w:t>
      </w:r>
    </w:p>
    <w:p w14:paraId="728197A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1、估值错误类型</w:t>
      </w:r>
    </w:p>
    <w:p w14:paraId="70A404B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运作过程中，如果由于基金管理人或基金托管人或投资人自身的原因造成估值错误，导致其他当事人遭受损失的，责任人应当对由于该估值错误遭受损失当事人(“受损方”)的直接损失按下述“估值错误处理原则”给予赔偿，承担赔偿责任。</w:t>
      </w:r>
    </w:p>
    <w:p w14:paraId="5F559D8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上述估值错误的主要类型包括但不限于：资料申报差错、数据传输差错、数据计算差错、系统故障差错、下达指令差错等。</w:t>
      </w:r>
    </w:p>
    <w:p w14:paraId="7289DF3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2、估值错误处理原则</w:t>
      </w:r>
    </w:p>
    <w:p w14:paraId="2E446B1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该有协助义务的当事人应当承担相应赔偿责任。估值错误责任方应对更正的情况向有关当事人进行确认，确保估值错误已得到更正。</w:t>
      </w:r>
    </w:p>
    <w:p w14:paraId="11CE0B6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（2）估值错误的责任方对有关当事人的直接损失负责，不对间接损失负责，并且仅对估值错误的有关直接当事人负责，不对第三方负责。</w:t>
      </w:r>
    </w:p>
    <w:p w14:paraId="28976BE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（3）因估值错误而获得不当得利的当事人负有及时返还不当得利的义务。但估值错误责任方仍应对估值错误负责。如果由于获得不当得利的当事人</w:t>
      </w:r>
      <w:proofErr w:type="gramStart"/>
      <w:r>
        <w:rPr>
          <w:rFonts w:ascii="宋体" w:hAnsi="宋体" w:cs="Arial"/>
          <w:bCs/>
          <w:sz w:val="24"/>
        </w:rPr>
        <w:t>不</w:t>
      </w:r>
      <w:proofErr w:type="gramEnd"/>
      <w:r>
        <w:rPr>
          <w:rFonts w:ascii="宋体" w:hAnsi="宋体" w:cs="Arial"/>
          <w:bCs/>
          <w:sz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w:t>
      </w:r>
      <w:r>
        <w:rPr>
          <w:rFonts w:ascii="宋体" w:hAnsi="宋体" w:cs="Arial"/>
          <w:bCs/>
          <w:sz w:val="24"/>
        </w:rPr>
        <w:lastRenderedPageBreak/>
        <w:t>获得的不当得利返还的总和超过其实际损失的差额部分支付给估值错误责任方。</w:t>
      </w:r>
    </w:p>
    <w:p w14:paraId="5412F9F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（4）估值错误调整采用尽量恢复至假设未发生估值错误的正确情形的方式。</w:t>
      </w:r>
    </w:p>
    <w:p w14:paraId="770D824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3、估值错误处理程序</w:t>
      </w:r>
    </w:p>
    <w:p w14:paraId="5C4AD08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估值错误被发现后，有关的当事人应当及时进行处理，处理的程序如下：</w:t>
      </w:r>
    </w:p>
    <w:p w14:paraId="3D2FA27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（1）查明估值错误发生的原因，列明所有的当事人，并根据估值错误发生的原因确定估值错误的责任方；</w:t>
      </w:r>
    </w:p>
    <w:p w14:paraId="67778E2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（2）根据估值错误处理原则或当事人协商的方法对因估值错误造成的损失进行评估；</w:t>
      </w:r>
    </w:p>
    <w:p w14:paraId="70949A5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（3）根据估值错误处理原则或当事人协商的方法由估值错误的责任方进行更正和赔偿损失；</w:t>
      </w:r>
    </w:p>
    <w:p w14:paraId="0FF1322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（4）根据估值错误处理的方法，需要修改基金登记结算机构交易数据的，由基金登记结算机构进行更正，并就估值错误的更正向有关当事人进行确认。</w:t>
      </w:r>
    </w:p>
    <w:p w14:paraId="331EC1E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4、基金份额净值估值错误处理的方法如下：</w:t>
      </w:r>
    </w:p>
    <w:p w14:paraId="3E00FDA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（1）基金份额净值计算出现错误时，基金管理人应当立即予以纠正，</w:t>
      </w:r>
      <w:r>
        <w:rPr>
          <w:rFonts w:ascii="宋体" w:hAnsi="宋体" w:cs="Arial" w:hint="eastAsia"/>
          <w:bCs/>
          <w:sz w:val="24"/>
        </w:rPr>
        <w:t>通报基金托管人，</w:t>
      </w:r>
      <w:r>
        <w:rPr>
          <w:rFonts w:ascii="宋体" w:hAnsi="宋体" w:cs="Arial"/>
          <w:bCs/>
          <w:sz w:val="24"/>
        </w:rPr>
        <w:t>并采取合理的措施防止损失进一步扩大。</w:t>
      </w:r>
    </w:p>
    <w:p w14:paraId="470ECD0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（2）错误偏差达到基金份额净值的0.25%时，基金管理人应当通报基金托管人并报中国证监会备案；错误偏差达到基金份额净值的0.5%时，基金管理人应当公告，通报基金托管人，并报中国证监会备案。</w:t>
      </w:r>
    </w:p>
    <w:p w14:paraId="1DDB45BB" w14:textId="6D3E076F" w:rsidR="00C52815" w:rsidRDefault="005C44F4">
      <w:pPr>
        <w:spacing w:line="360" w:lineRule="auto"/>
        <w:ind w:firstLineChars="200" w:firstLine="480"/>
        <w:rPr>
          <w:rFonts w:ascii="宋体" w:hAnsi="宋体" w:cs="Arial"/>
          <w:bCs/>
          <w:sz w:val="24"/>
        </w:rPr>
      </w:pPr>
      <w:r>
        <w:rPr>
          <w:rFonts w:ascii="宋体" w:hAnsi="宋体" w:cs="Arial"/>
          <w:bCs/>
          <w:sz w:val="24"/>
        </w:rPr>
        <w:t>（</w:t>
      </w:r>
      <w:r w:rsidR="00510CF6">
        <w:rPr>
          <w:rFonts w:ascii="宋体" w:hAnsi="宋体" w:cs="Arial"/>
          <w:bCs/>
          <w:sz w:val="24"/>
        </w:rPr>
        <w:t>3</w:t>
      </w:r>
      <w:r>
        <w:rPr>
          <w:rFonts w:ascii="宋体" w:hAnsi="宋体" w:cs="Arial"/>
          <w:bCs/>
          <w:sz w:val="24"/>
        </w:rPr>
        <w:t>）前述内容如法律法规或监管机关另有规定的，从其规定处理。</w:t>
      </w:r>
    </w:p>
    <w:p w14:paraId="000ECA6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5、特殊情况的处理</w:t>
      </w:r>
    </w:p>
    <w:p w14:paraId="5277EFD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（1）基金管理人或基金托管人按本基金合同约定的估值方法进行估值时，所造成的误差不作为基金资产估值错误处理。</w:t>
      </w:r>
    </w:p>
    <w:p w14:paraId="5E37FE51" w14:textId="673DAE0D" w:rsidR="00C52815" w:rsidRDefault="005C44F4">
      <w:pPr>
        <w:spacing w:line="360" w:lineRule="auto"/>
        <w:ind w:firstLineChars="200" w:firstLine="480"/>
        <w:rPr>
          <w:rFonts w:ascii="宋体" w:hAnsi="宋体" w:cs="Arial"/>
          <w:bCs/>
          <w:sz w:val="24"/>
        </w:rPr>
      </w:pPr>
      <w:r>
        <w:rPr>
          <w:rFonts w:ascii="宋体" w:hAnsi="宋体" w:cs="Arial"/>
          <w:bCs/>
          <w:sz w:val="24"/>
        </w:rPr>
        <w:t>（2）由于不可抗力，或证券交易所、期货交易所</w:t>
      </w:r>
      <w:r>
        <w:rPr>
          <w:rFonts w:ascii="宋体" w:hAnsi="宋体" w:cs="Arial" w:hint="eastAsia"/>
          <w:bCs/>
          <w:sz w:val="24"/>
        </w:rPr>
        <w:t>、</w:t>
      </w:r>
      <w:r>
        <w:rPr>
          <w:rFonts w:ascii="宋体" w:hAnsi="宋体" w:cs="Arial"/>
          <w:bCs/>
          <w:sz w:val="24"/>
        </w:rPr>
        <w:t>指数编制机构</w:t>
      </w:r>
      <w:r>
        <w:rPr>
          <w:rFonts w:ascii="宋体" w:hAnsi="宋体" w:cs="Arial" w:hint="eastAsia"/>
          <w:bCs/>
          <w:sz w:val="24"/>
        </w:rPr>
        <w:t>、</w:t>
      </w:r>
      <w:r w:rsidR="00BA26FF">
        <w:rPr>
          <w:rFonts w:ascii="宋体" w:hAnsi="宋体" w:cs="Arial"/>
          <w:bCs/>
          <w:sz w:val="24"/>
        </w:rPr>
        <w:t>第三方估值基准服务机构</w:t>
      </w:r>
      <w:r>
        <w:rPr>
          <w:rFonts w:ascii="宋体" w:hAnsi="宋体" w:cs="Arial" w:hint="eastAsia"/>
          <w:bCs/>
          <w:sz w:val="24"/>
        </w:rPr>
        <w:t>、证券经纪商</w:t>
      </w:r>
      <w:r>
        <w:rPr>
          <w:rFonts w:ascii="宋体" w:hAnsi="宋体" w:cs="Arial"/>
          <w:bCs/>
          <w:sz w:val="24"/>
        </w:rPr>
        <w:t>或登记结算</w:t>
      </w:r>
      <w:r w:rsidR="007E3446" w:rsidRPr="007E3446">
        <w:rPr>
          <w:rFonts w:ascii="宋体" w:hAnsi="宋体" w:cs="Arial" w:hint="eastAsia"/>
          <w:bCs/>
          <w:sz w:val="24"/>
        </w:rPr>
        <w:t>机构</w:t>
      </w:r>
      <w:r>
        <w:rPr>
          <w:rFonts w:ascii="宋体" w:hAnsi="宋体" w:cs="Arial"/>
          <w:bCs/>
          <w:sz w:val="24"/>
        </w:rPr>
        <w:t>发送的数据错误，或国家会计政策变更、市场规则变更等</w:t>
      </w:r>
      <w:proofErr w:type="gramStart"/>
      <w:r>
        <w:rPr>
          <w:rFonts w:ascii="宋体" w:hAnsi="宋体" w:cs="Arial"/>
          <w:bCs/>
          <w:sz w:val="24"/>
        </w:rPr>
        <w:t>非基金</w:t>
      </w:r>
      <w:proofErr w:type="gramEnd"/>
      <w:r>
        <w:rPr>
          <w:rFonts w:ascii="宋体" w:hAnsi="宋体" w:cs="Arial"/>
          <w:bCs/>
          <w:sz w:val="24"/>
        </w:rPr>
        <w:t>管理人或基金托管人原因，基金管理人和基金托管人虽然已经采取必要、适当、合理的措施进行检查，仍未能发现错误</w:t>
      </w:r>
      <w:r w:rsidR="004C5C60" w:rsidRPr="005D1F43">
        <w:rPr>
          <w:rFonts w:ascii="宋体" w:hAnsi="宋体" w:cs="Arial" w:hint="eastAsia"/>
          <w:bCs/>
          <w:sz w:val="24"/>
        </w:rPr>
        <w:t>或因前述原因未能避免或更正错误</w:t>
      </w:r>
      <w:r>
        <w:rPr>
          <w:rFonts w:ascii="宋体" w:hAnsi="宋体" w:cs="Arial"/>
          <w:bCs/>
          <w:sz w:val="24"/>
        </w:rPr>
        <w:t>的，由此造成的基金资产估值错误，基金管理人和基金托管人免除赔偿责任</w:t>
      </w:r>
      <w:r>
        <w:rPr>
          <w:rFonts w:ascii="宋体" w:hAnsi="宋体" w:cs="Arial" w:hint="eastAsia"/>
          <w:bCs/>
          <w:sz w:val="24"/>
        </w:rPr>
        <w:t>。</w:t>
      </w:r>
      <w:r>
        <w:rPr>
          <w:rFonts w:ascii="宋体" w:hAnsi="宋体" w:cs="Arial"/>
          <w:bCs/>
          <w:sz w:val="24"/>
        </w:rPr>
        <w:t>但基金管理人、基金托管人应当积极采取必要的措施减轻或消除由此造成的影响。</w:t>
      </w:r>
    </w:p>
    <w:p w14:paraId="2524454A"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（七）暂停估值的情形</w:t>
      </w:r>
    </w:p>
    <w:p w14:paraId="7B82F5E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1、基金投资所涉及的证券、期货交易市场</w:t>
      </w:r>
      <w:r>
        <w:rPr>
          <w:rFonts w:ascii="宋体" w:hAnsi="宋体" w:cs="Arial" w:hint="eastAsia"/>
          <w:bCs/>
          <w:sz w:val="24"/>
        </w:rPr>
        <w:t>或外汇市场</w:t>
      </w:r>
      <w:r>
        <w:rPr>
          <w:rFonts w:ascii="宋体" w:hAnsi="宋体" w:cs="Arial"/>
          <w:bCs/>
          <w:sz w:val="24"/>
        </w:rPr>
        <w:t>遇法定节假日或因其他原因暂停营业时；</w:t>
      </w:r>
    </w:p>
    <w:p w14:paraId="6A1FBC4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2、因不可抗力致使基金管理人、基金托管人无法准确评估基金资产价值时；</w:t>
      </w:r>
    </w:p>
    <w:p w14:paraId="5E882167" w14:textId="550A3F8A" w:rsidR="00C52815" w:rsidRDefault="005C44F4">
      <w:pPr>
        <w:spacing w:line="360" w:lineRule="auto"/>
        <w:ind w:firstLineChars="200" w:firstLine="480"/>
        <w:rPr>
          <w:rFonts w:ascii="宋体" w:hAnsi="宋体" w:cs="Arial"/>
          <w:bCs/>
          <w:sz w:val="24"/>
        </w:rPr>
      </w:pPr>
      <w:r>
        <w:rPr>
          <w:rFonts w:ascii="宋体" w:hAnsi="宋体" w:cs="Arial"/>
          <w:bCs/>
          <w:sz w:val="24"/>
        </w:rPr>
        <w:t>3、当前一估值日基金资产净值50%以上的资产出现无可参考的活跃市场价格且采用估值技术</w:t>
      </w:r>
      <w:proofErr w:type="gramStart"/>
      <w:r>
        <w:rPr>
          <w:rFonts w:ascii="宋体" w:hAnsi="宋体" w:cs="Arial"/>
          <w:bCs/>
          <w:sz w:val="24"/>
        </w:rPr>
        <w:t>仍导致</w:t>
      </w:r>
      <w:proofErr w:type="gramEnd"/>
      <w:r>
        <w:rPr>
          <w:rFonts w:ascii="宋体" w:hAnsi="宋体" w:cs="Arial"/>
          <w:bCs/>
          <w:sz w:val="24"/>
        </w:rPr>
        <w:t>公允价值存在重大不确定性时，经与基金托管人协商确认后，基金管理人应当暂停估值；</w:t>
      </w:r>
    </w:p>
    <w:p w14:paraId="27764C2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4、法律法规规定、中国证监会和基金合同认定的其它情形。</w:t>
      </w:r>
    </w:p>
    <w:p w14:paraId="0055397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（八）基金净值的确认</w:t>
      </w:r>
    </w:p>
    <w:p w14:paraId="60891E0E" w14:textId="47995A33" w:rsidR="00C52815" w:rsidRDefault="005C44F4">
      <w:pPr>
        <w:autoSpaceDE w:val="0"/>
        <w:autoSpaceDN w:val="0"/>
        <w:adjustRightInd w:val="0"/>
        <w:spacing w:line="360" w:lineRule="auto"/>
        <w:ind w:firstLineChars="225" w:firstLine="540"/>
        <w:jc w:val="left"/>
        <w:rPr>
          <w:rFonts w:ascii="宋体" w:hAnsi="宋体" w:cs="Arial"/>
          <w:bCs/>
          <w:sz w:val="24"/>
        </w:rPr>
      </w:pPr>
      <w:r>
        <w:rPr>
          <w:rFonts w:ascii="宋体" w:hAnsi="宋体" w:cs="Arial"/>
          <w:bCs/>
          <w:sz w:val="24"/>
        </w:rPr>
        <w:t>基金资产净值和基金份额净值由基金管理人负责计算，基金托管人负责进行复核。基金管理人应于每个</w:t>
      </w:r>
      <w:r w:rsidR="00AD52E8">
        <w:rPr>
          <w:rFonts w:ascii="宋体" w:hAnsi="宋体" w:cs="Arial" w:hint="eastAsia"/>
          <w:bCs/>
          <w:sz w:val="24"/>
        </w:rPr>
        <w:t>工作</w:t>
      </w:r>
      <w:r>
        <w:rPr>
          <w:rFonts w:ascii="宋体" w:hAnsi="宋体" w:cs="Arial"/>
          <w:bCs/>
          <w:sz w:val="24"/>
        </w:rPr>
        <w:t>日交易结束后计算当日的基金资产净值和基金份额净值并发送给基金托管人。基金托管人对净值计算结果复核确认后发送给基金管理人，由基金管理人对基金净值予以公布。</w:t>
      </w:r>
    </w:p>
    <w:p w14:paraId="0752EAEA" w14:textId="77777777" w:rsidR="00C52815" w:rsidRDefault="00C52815">
      <w:pPr>
        <w:autoSpaceDE w:val="0"/>
        <w:autoSpaceDN w:val="0"/>
        <w:adjustRightInd w:val="0"/>
        <w:spacing w:line="360" w:lineRule="auto"/>
        <w:ind w:firstLineChars="225" w:firstLine="540"/>
        <w:jc w:val="left"/>
        <w:rPr>
          <w:rFonts w:ascii="宋体" w:hAnsi="宋体" w:cs="Arial"/>
          <w:bCs/>
          <w:sz w:val="24"/>
        </w:rPr>
      </w:pPr>
    </w:p>
    <w:p w14:paraId="130ABD1F" w14:textId="77777777" w:rsidR="00C52815" w:rsidRDefault="005C44F4">
      <w:pPr>
        <w:autoSpaceDE w:val="0"/>
        <w:autoSpaceDN w:val="0"/>
        <w:adjustRightInd w:val="0"/>
        <w:spacing w:line="360" w:lineRule="auto"/>
        <w:ind w:firstLineChars="225" w:firstLine="542"/>
        <w:jc w:val="left"/>
        <w:rPr>
          <w:rFonts w:ascii="宋体" w:hAnsi="宋体" w:cs="Arial"/>
          <w:b/>
          <w:sz w:val="24"/>
          <w:szCs w:val="24"/>
        </w:rPr>
      </w:pPr>
      <w:r>
        <w:rPr>
          <w:rFonts w:ascii="宋体" w:hAnsi="宋体" w:cs="Arial"/>
          <w:b/>
          <w:sz w:val="24"/>
          <w:szCs w:val="24"/>
        </w:rPr>
        <w:t>七、基金合同的变更、终止与基金财产的清算</w:t>
      </w:r>
    </w:p>
    <w:p w14:paraId="1E0604E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（一）《基金合同》的变更</w:t>
      </w:r>
    </w:p>
    <w:p w14:paraId="67F63BE6" w14:textId="23231923" w:rsidR="00C52815" w:rsidRDefault="005C44F4">
      <w:pPr>
        <w:autoSpaceDE w:val="0"/>
        <w:autoSpaceDN w:val="0"/>
        <w:adjustRightInd w:val="0"/>
        <w:spacing w:line="360" w:lineRule="auto"/>
        <w:ind w:firstLineChars="200" w:firstLine="480"/>
        <w:jc w:val="left"/>
        <w:rPr>
          <w:rFonts w:ascii="宋体" w:hAnsi="宋体" w:cs="Arial"/>
          <w:bCs/>
          <w:sz w:val="24"/>
        </w:rPr>
      </w:pPr>
      <w:r>
        <w:rPr>
          <w:rFonts w:ascii="宋体" w:hAnsi="宋体" w:cs="Arial"/>
          <w:bCs/>
          <w:sz w:val="24"/>
        </w:rPr>
        <w:t>1、变更基金合同涉及法律法规规定或本基金合同约定应经基金份额持有人大会决议通过的事项的，应召</w:t>
      </w:r>
      <w:proofErr w:type="gramStart"/>
      <w:r>
        <w:rPr>
          <w:rFonts w:ascii="宋体" w:hAnsi="宋体" w:cs="Arial"/>
          <w:bCs/>
          <w:sz w:val="24"/>
        </w:rPr>
        <w:t>开基金</w:t>
      </w:r>
      <w:proofErr w:type="gramEnd"/>
      <w:r>
        <w:rPr>
          <w:rFonts w:ascii="宋体" w:hAnsi="宋体" w:cs="Arial"/>
          <w:bCs/>
          <w:sz w:val="24"/>
        </w:rPr>
        <w:t>份额持有人大会决议通过。对于法律法规规定和基金合同约定可不经基金份额持有人大会决议通过的事项，由基金管理人和基金托管人同意</w:t>
      </w:r>
      <w:r w:rsidR="00942099">
        <w:rPr>
          <w:rFonts w:ascii="宋体" w:hAnsi="宋体" w:cs="Arial" w:hint="eastAsia"/>
          <w:bCs/>
          <w:sz w:val="24"/>
        </w:rPr>
        <w:t>，</w:t>
      </w:r>
      <w:r w:rsidR="00942099">
        <w:rPr>
          <w:rFonts w:hint="eastAsia"/>
          <w:bCs/>
          <w:sz w:val="24"/>
        </w:rPr>
        <w:t>在履行适当程序</w:t>
      </w:r>
      <w:r>
        <w:rPr>
          <w:rFonts w:ascii="宋体" w:hAnsi="宋体" w:cs="Arial"/>
          <w:bCs/>
          <w:sz w:val="24"/>
        </w:rPr>
        <w:t>后变更并公告。</w:t>
      </w:r>
    </w:p>
    <w:p w14:paraId="6C64D2AC" w14:textId="148814FB" w:rsidR="00C52815" w:rsidRDefault="005C44F4">
      <w:pPr>
        <w:spacing w:line="360" w:lineRule="auto"/>
        <w:ind w:firstLineChars="200" w:firstLine="480"/>
        <w:rPr>
          <w:rFonts w:ascii="宋体" w:hAnsi="宋体" w:cs="Arial"/>
          <w:bCs/>
          <w:sz w:val="24"/>
        </w:rPr>
      </w:pPr>
      <w:r>
        <w:rPr>
          <w:rFonts w:ascii="宋体" w:hAnsi="宋体" w:cs="Arial"/>
          <w:bCs/>
          <w:sz w:val="24"/>
        </w:rPr>
        <w:t>2、关于《基金合同》变更的基金份额持有人大会决议自通过之日起生效，</w:t>
      </w:r>
      <w:r w:rsidR="0062656B">
        <w:rPr>
          <w:bCs/>
          <w:sz w:val="24"/>
        </w:rPr>
        <w:t>该决议应报中国证监会备案</w:t>
      </w:r>
      <w:r w:rsidR="0062656B">
        <w:rPr>
          <w:rFonts w:ascii="宋体" w:hAnsi="宋体" w:cs="Arial" w:hint="eastAsia"/>
          <w:bCs/>
          <w:sz w:val="24"/>
        </w:rPr>
        <w:t>。</w:t>
      </w:r>
      <w:r>
        <w:rPr>
          <w:rFonts w:ascii="宋体" w:hAnsi="宋体" w:cs="Arial"/>
          <w:bCs/>
          <w:sz w:val="24"/>
        </w:rPr>
        <w:t>信息披露义务人应</w:t>
      </w:r>
      <w:proofErr w:type="gramStart"/>
      <w:r>
        <w:rPr>
          <w:rFonts w:ascii="宋体" w:hAnsi="宋体" w:cs="Arial"/>
          <w:bCs/>
          <w:sz w:val="24"/>
        </w:rPr>
        <w:t>自决议</w:t>
      </w:r>
      <w:proofErr w:type="gramEnd"/>
      <w:r>
        <w:rPr>
          <w:rFonts w:ascii="宋体" w:hAnsi="宋体" w:cs="Arial"/>
          <w:bCs/>
          <w:sz w:val="24"/>
        </w:rPr>
        <w:t>生效后依照《信息披露办法》的有关规定在规定媒介公告。</w:t>
      </w:r>
    </w:p>
    <w:p w14:paraId="72F314CE" w14:textId="77777777" w:rsidR="00C52815" w:rsidRDefault="005C44F4">
      <w:pPr>
        <w:spacing w:line="360" w:lineRule="auto"/>
        <w:ind w:firstLineChars="200" w:firstLine="480"/>
        <w:rPr>
          <w:rFonts w:ascii="宋体" w:hAnsi="宋体" w:cs="Arial"/>
          <w:sz w:val="24"/>
        </w:rPr>
      </w:pPr>
      <w:r>
        <w:rPr>
          <w:rFonts w:ascii="宋体" w:hAnsi="宋体" w:cs="Arial"/>
          <w:sz w:val="24"/>
        </w:rPr>
        <w:t>（二）《基金合同》的终止事由</w:t>
      </w:r>
    </w:p>
    <w:p w14:paraId="72721AA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有下列情形之一的，经履行相关程序后，《基金合同》应当终止：</w:t>
      </w:r>
    </w:p>
    <w:p w14:paraId="1E7516D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1、基金份额持有人大会决定终止的；</w:t>
      </w:r>
    </w:p>
    <w:p w14:paraId="0CFAFDE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2、基金管理人、基金托管人职责终止，在6个月内没有新基金管理人、新基金托管人承接的；</w:t>
      </w:r>
    </w:p>
    <w:p w14:paraId="13EBEDD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3、出现标的指数不符合要求（因成份股价格波动等指数编制方法变动之外</w:t>
      </w:r>
      <w:r>
        <w:rPr>
          <w:rFonts w:ascii="宋体" w:hAnsi="宋体" w:cs="Arial"/>
          <w:bCs/>
          <w:sz w:val="24"/>
        </w:rPr>
        <w:lastRenderedPageBreak/>
        <w:t>的因素致使标的指数不符合要求的情形除外）、指数编制机构退出等情形，基金管理人召集基金份额持有人大会对解决方案进行表决，基金份额持有人大会未成功召开或就上述事项表决未通过的；</w:t>
      </w:r>
    </w:p>
    <w:p w14:paraId="5D1070A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4、《基金合同》约定的其他情形；</w:t>
      </w:r>
    </w:p>
    <w:p w14:paraId="5ABD9F5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5、相关法律法规和中国证监会规定的其他情况。</w:t>
      </w:r>
    </w:p>
    <w:p w14:paraId="37959D3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（三）基金财产的清算</w:t>
      </w:r>
    </w:p>
    <w:p w14:paraId="01BC7EE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1、基金财产清算小组：自出现《基金合同》终止事由之日起30个工作日内成立</w:t>
      </w:r>
      <w:r>
        <w:rPr>
          <w:rFonts w:ascii="宋体" w:hAnsi="宋体" w:cs="Arial" w:hint="eastAsia"/>
          <w:bCs/>
          <w:sz w:val="24"/>
        </w:rPr>
        <w:t>基金财产</w:t>
      </w:r>
      <w:r>
        <w:rPr>
          <w:rFonts w:ascii="宋体" w:hAnsi="宋体" w:cs="Arial"/>
          <w:bCs/>
          <w:sz w:val="24"/>
        </w:rPr>
        <w:t>清算小组，基金管理人组织基金财产清算小组并在中国证监会的监督下进行基金清算。</w:t>
      </w:r>
    </w:p>
    <w:p w14:paraId="375D216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w:t>
      </w:r>
      <w:r>
        <w:rPr>
          <w:rFonts w:ascii="宋体" w:hAnsi="宋体" w:cs="Arial"/>
          <w:kern w:val="0"/>
          <w:sz w:val="24"/>
        </w:rPr>
        <w:t>在基金财产清算小组接管基金财产之前，基金管理人和基金托管人应按照基金合同和托管协议的规定继续履行保护基金财产安全的职责。</w:t>
      </w:r>
    </w:p>
    <w:p w14:paraId="0AD87E0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3、基金财产清算小组组成：基金财产清算小组成员由基金管理人、基金托管人、符合《中华人民共和国证券法》规定的注册会计师、律师组成。基金财产清算小组可以聘用必要的工作人员。</w:t>
      </w:r>
    </w:p>
    <w:p w14:paraId="2E68008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4、基金财产清算小组职责：基金财产清算小组负责基金财产的保管、清理、估价、变现和分配。基金财产清算小组可以依法进行必要的民事活动。</w:t>
      </w:r>
    </w:p>
    <w:p w14:paraId="66E90C0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5、基金财产清算程序：</w:t>
      </w:r>
    </w:p>
    <w:p w14:paraId="157FC30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（1）基金财产清算小组成立后，由基金财产清算小组统一接管基金；</w:t>
      </w:r>
    </w:p>
    <w:p w14:paraId="6169FD3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（2）对基金财产和债权债务进行清理和确认；</w:t>
      </w:r>
    </w:p>
    <w:p w14:paraId="3A243C1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（3）对基金财产进行估值和变现；</w:t>
      </w:r>
    </w:p>
    <w:p w14:paraId="1B2203A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（4）制作清算报告；</w:t>
      </w:r>
    </w:p>
    <w:p w14:paraId="02F36B4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（5）聘请会计师事务所对清算报告进行外部审计，聘请律师事务所对清算报告出具法律意见书；</w:t>
      </w:r>
    </w:p>
    <w:p w14:paraId="4F67201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（6）将清算报告报中国证监会备案并公告；</w:t>
      </w:r>
    </w:p>
    <w:p w14:paraId="4246ED0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（7）对基金剩余财产进行分配。</w:t>
      </w:r>
    </w:p>
    <w:p w14:paraId="35FFC16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6、基金财产清算的期限为6个月，但因本基金所持证券的流动性受到限制而不能及时变现等客观因素的，清算期限相应顺延。</w:t>
      </w:r>
    </w:p>
    <w:p w14:paraId="2FABEF3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（四）清算费用</w:t>
      </w:r>
    </w:p>
    <w:p w14:paraId="7205573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清算费用是指基金财产清算小组在进行基金清算过程中发生的所有合理费</w:t>
      </w:r>
      <w:r>
        <w:rPr>
          <w:rFonts w:ascii="宋体" w:hAnsi="宋体" w:cs="Arial"/>
          <w:bCs/>
          <w:sz w:val="24"/>
        </w:rPr>
        <w:lastRenderedPageBreak/>
        <w:t>用，清算费用由基金财产清算小组优先从基金剩余财产中支付。</w:t>
      </w:r>
    </w:p>
    <w:p w14:paraId="51F0B0D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（五）基金财产清算剩余资产的分配</w:t>
      </w:r>
    </w:p>
    <w:p w14:paraId="19BC7DA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依据基金财产清算的分配方案，将基金财产清算后的全部剩余资产扣除基金财产清算费用、交纳所欠税款并清偿基金债务后，按基金份额持有人持有的基金份额比例进行分配。</w:t>
      </w:r>
    </w:p>
    <w:p w14:paraId="6F2C16F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（六）基金财产清算的公告</w:t>
      </w:r>
    </w:p>
    <w:p w14:paraId="097A42F9" w14:textId="61263D8D" w:rsidR="00C52815" w:rsidRDefault="005C44F4">
      <w:pPr>
        <w:spacing w:line="360" w:lineRule="auto"/>
        <w:ind w:firstLineChars="200" w:firstLine="480"/>
        <w:rPr>
          <w:rFonts w:ascii="宋体" w:hAnsi="宋体" w:cs="Arial"/>
          <w:bCs/>
          <w:sz w:val="24"/>
        </w:rPr>
      </w:pPr>
      <w:r>
        <w:rPr>
          <w:rFonts w:ascii="宋体" w:hAnsi="宋体" w:cs="Arial"/>
          <w:bCs/>
          <w:sz w:val="24"/>
        </w:rPr>
        <w:t>清算过程中的有关重大事项须及时公告；基金财产清算报告</w:t>
      </w:r>
      <w:proofErr w:type="gramStart"/>
      <w:r>
        <w:rPr>
          <w:rFonts w:ascii="宋体" w:hAnsi="宋体" w:cs="Arial"/>
          <w:bCs/>
          <w:sz w:val="24"/>
        </w:rPr>
        <w:t>经符合</w:t>
      </w:r>
      <w:proofErr w:type="gramEnd"/>
      <w:r>
        <w:rPr>
          <w:rFonts w:ascii="宋体" w:hAnsi="宋体" w:cs="Arial"/>
          <w:bCs/>
          <w:sz w:val="24"/>
        </w:rPr>
        <w:t>《中华人民共和国证券法》规定的会计师事务所审计并由律师事务所出具法律意见书后报中国证监会备案并公告。基金财产清算公告于基金财产清算报告报中国证监会备案后</w:t>
      </w:r>
      <w:r w:rsidR="00667CB7">
        <w:rPr>
          <w:rFonts w:ascii="宋体" w:hAnsi="宋体" w:cs="Arial" w:hint="eastAsia"/>
          <w:bCs/>
          <w:sz w:val="24"/>
        </w:rPr>
        <w:t>5个工作日内</w:t>
      </w:r>
      <w:r>
        <w:rPr>
          <w:rFonts w:ascii="宋体" w:hAnsi="宋体" w:cs="Arial"/>
          <w:bCs/>
          <w:sz w:val="24"/>
        </w:rPr>
        <w:t>由基金财产清算小组进行公告。</w:t>
      </w:r>
    </w:p>
    <w:p w14:paraId="32680F5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（七）基金财产清算账册及文件的保存</w:t>
      </w:r>
    </w:p>
    <w:p w14:paraId="5D206D7E" w14:textId="3D1AAE5A" w:rsidR="00C52815" w:rsidRDefault="005C44F4">
      <w:pPr>
        <w:spacing w:line="360" w:lineRule="auto"/>
        <w:ind w:firstLineChars="200" w:firstLine="480"/>
        <w:rPr>
          <w:rFonts w:ascii="宋体" w:hAnsi="宋体" w:cs="Arial"/>
          <w:bCs/>
          <w:sz w:val="24"/>
        </w:rPr>
      </w:pPr>
      <w:r>
        <w:rPr>
          <w:rFonts w:ascii="宋体" w:hAnsi="宋体" w:cs="Arial"/>
          <w:bCs/>
          <w:sz w:val="24"/>
        </w:rPr>
        <w:t>基金财产清算账册及有关文件由基金托管人保存，保存期限</w:t>
      </w:r>
      <w:r w:rsidR="00D02C8C" w:rsidRPr="00D02C8C">
        <w:rPr>
          <w:rFonts w:ascii="宋体" w:hAnsi="宋体" w:cs="Arial" w:hint="eastAsia"/>
          <w:bCs/>
          <w:sz w:val="24"/>
        </w:rPr>
        <w:t>按照法律法规的规定执行</w:t>
      </w:r>
      <w:r>
        <w:rPr>
          <w:rFonts w:ascii="宋体" w:hAnsi="宋体" w:cs="Arial"/>
          <w:bCs/>
          <w:sz w:val="24"/>
        </w:rPr>
        <w:t>。</w:t>
      </w:r>
    </w:p>
    <w:p w14:paraId="40155729" w14:textId="77777777" w:rsidR="00C52815" w:rsidRDefault="00C52815">
      <w:pPr>
        <w:autoSpaceDE w:val="0"/>
        <w:autoSpaceDN w:val="0"/>
        <w:adjustRightInd w:val="0"/>
        <w:spacing w:line="360" w:lineRule="auto"/>
        <w:ind w:firstLineChars="225" w:firstLine="540"/>
        <w:jc w:val="left"/>
        <w:rPr>
          <w:rFonts w:ascii="宋体" w:hAnsi="宋体" w:cs="Arial"/>
          <w:sz w:val="24"/>
        </w:rPr>
      </w:pPr>
    </w:p>
    <w:p w14:paraId="0DBD9850" w14:textId="77777777" w:rsidR="00C52815" w:rsidRDefault="005C44F4">
      <w:pPr>
        <w:ind w:firstLineChars="200" w:firstLine="482"/>
        <w:rPr>
          <w:rFonts w:ascii="宋体" w:hAnsi="宋体" w:cs="Arial"/>
          <w:b/>
          <w:sz w:val="24"/>
          <w:szCs w:val="24"/>
        </w:rPr>
      </w:pPr>
      <w:r>
        <w:rPr>
          <w:rFonts w:ascii="宋体" w:hAnsi="宋体" w:cs="Arial"/>
          <w:b/>
          <w:sz w:val="24"/>
          <w:szCs w:val="24"/>
        </w:rPr>
        <w:t>八、争议解决方式</w:t>
      </w:r>
    </w:p>
    <w:p w14:paraId="3D88F56D" w14:textId="5BDFCE7E" w:rsidR="00C52815" w:rsidRDefault="005C44F4">
      <w:pPr>
        <w:spacing w:line="360" w:lineRule="auto"/>
        <w:ind w:firstLineChars="200" w:firstLine="480"/>
        <w:rPr>
          <w:rFonts w:ascii="宋体" w:hAnsi="宋体" w:cs="Arial"/>
          <w:bCs/>
          <w:sz w:val="24"/>
        </w:rPr>
      </w:pPr>
      <w:r>
        <w:rPr>
          <w:rFonts w:ascii="宋体" w:hAnsi="宋体" w:cs="Arial"/>
          <w:bCs/>
          <w:sz w:val="24"/>
        </w:rPr>
        <w:t>各方当事人同意，因《基金合同》而产生的或与《基金合同》有关的一切争议，各方当事人应尽量通过协商、调解解决。协商、调解不能解决的</w:t>
      </w:r>
      <w:r w:rsidR="00AD52E8">
        <w:rPr>
          <w:rFonts w:ascii="宋体" w:hAnsi="宋体" w:cs="Arial" w:hint="eastAsia"/>
          <w:bCs/>
          <w:sz w:val="24"/>
        </w:rPr>
        <w:t>，</w:t>
      </w:r>
      <w:r w:rsidR="00AD52E8">
        <w:rPr>
          <w:rFonts w:ascii="宋体" w:hAnsi="宋体" w:cs="Arial"/>
          <w:bCs/>
          <w:sz w:val="24"/>
        </w:rPr>
        <w:t>应当</w:t>
      </w:r>
      <w:r>
        <w:rPr>
          <w:rFonts w:ascii="宋体" w:hAnsi="宋体" w:cs="Arial"/>
          <w:bCs/>
          <w:sz w:val="24"/>
        </w:rPr>
        <w:t>将争议提交中国国际经济贸易仲裁委员会，按照中国国际经济贸易仲裁委员会届时有效的仲裁规则进行仲裁。仲裁地点为北京市。仲裁裁决是终局的，对仲裁各方当事人均具有约束力。仲裁费用由败诉方承担，除非仲裁裁决另有决定。</w:t>
      </w:r>
    </w:p>
    <w:p w14:paraId="4A3C318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争议处理期间，各方当事人应恪守各自的职责，继续忠实、勤勉、尽责地履行基金合同规定的义务，维护基金份额持有人的合法权益。</w:t>
      </w:r>
    </w:p>
    <w:p w14:paraId="0246286C" w14:textId="77777777" w:rsidR="00C52815" w:rsidRDefault="005C44F4">
      <w:pPr>
        <w:autoSpaceDE w:val="0"/>
        <w:autoSpaceDN w:val="0"/>
        <w:adjustRightInd w:val="0"/>
        <w:spacing w:line="360" w:lineRule="auto"/>
        <w:ind w:firstLineChars="225" w:firstLine="540"/>
        <w:jc w:val="left"/>
        <w:rPr>
          <w:rFonts w:ascii="宋体" w:hAnsi="宋体" w:cs="Arial"/>
          <w:bCs/>
          <w:sz w:val="24"/>
        </w:rPr>
      </w:pPr>
      <w:r>
        <w:rPr>
          <w:rFonts w:ascii="宋体" w:hAnsi="宋体" w:cs="Arial"/>
          <w:bCs/>
          <w:sz w:val="24"/>
        </w:rPr>
        <w:t>《基金合同》受中国法律（为本合同之目的，不包括香港特别行政区、澳门特别行政区和台湾地区法律）管辖。</w:t>
      </w:r>
    </w:p>
    <w:p w14:paraId="5889792C" w14:textId="77777777" w:rsidR="00C52815" w:rsidRDefault="00C52815">
      <w:pPr>
        <w:autoSpaceDE w:val="0"/>
        <w:autoSpaceDN w:val="0"/>
        <w:adjustRightInd w:val="0"/>
        <w:spacing w:line="360" w:lineRule="auto"/>
        <w:ind w:firstLineChars="225" w:firstLine="540"/>
        <w:jc w:val="left"/>
        <w:rPr>
          <w:rFonts w:ascii="宋体" w:hAnsi="宋体" w:cs="Arial"/>
          <w:bCs/>
          <w:sz w:val="24"/>
        </w:rPr>
      </w:pPr>
    </w:p>
    <w:p w14:paraId="2CFA60D5" w14:textId="77777777" w:rsidR="00C52815" w:rsidRDefault="005C44F4">
      <w:pPr>
        <w:autoSpaceDE w:val="0"/>
        <w:autoSpaceDN w:val="0"/>
        <w:adjustRightInd w:val="0"/>
        <w:ind w:firstLineChars="200" w:firstLine="482"/>
        <w:jc w:val="left"/>
        <w:rPr>
          <w:rFonts w:ascii="宋体" w:hAnsi="宋体" w:cs="Arial"/>
          <w:b/>
          <w:color w:val="000000"/>
          <w:kern w:val="0"/>
          <w:sz w:val="24"/>
          <w:szCs w:val="24"/>
        </w:rPr>
      </w:pPr>
      <w:r>
        <w:rPr>
          <w:rFonts w:ascii="宋体" w:hAnsi="宋体" w:cs="Arial"/>
          <w:b/>
          <w:color w:val="000000"/>
          <w:kern w:val="0"/>
          <w:sz w:val="24"/>
          <w:szCs w:val="24"/>
        </w:rPr>
        <w:t>九、基金合同存放地和投资者取得基金合同的方式</w:t>
      </w:r>
    </w:p>
    <w:p w14:paraId="1C619FAD" w14:textId="77777777" w:rsidR="00C52815" w:rsidRDefault="005C44F4">
      <w:pPr>
        <w:autoSpaceDE w:val="0"/>
        <w:autoSpaceDN w:val="0"/>
        <w:adjustRightInd w:val="0"/>
        <w:spacing w:line="360" w:lineRule="auto"/>
        <w:ind w:firstLineChars="225" w:firstLine="540"/>
        <w:jc w:val="left"/>
        <w:rPr>
          <w:rFonts w:ascii="宋体" w:hAnsi="宋体" w:cs="Arial"/>
          <w:bCs/>
          <w:sz w:val="24"/>
        </w:rPr>
      </w:pPr>
      <w:r>
        <w:rPr>
          <w:rFonts w:ascii="宋体" w:hAnsi="宋体" w:cs="Arial"/>
          <w:bCs/>
          <w:sz w:val="24"/>
        </w:rPr>
        <w:t>《基金合同》正本一式叁份，除上报有关监管机构一份外，基金管理人、基金托管人各持有一份，每份具有同等的法律效力。</w:t>
      </w:r>
    </w:p>
    <w:p w14:paraId="68377095" w14:textId="7434B295" w:rsidR="00EE61BC" w:rsidRDefault="005C44F4">
      <w:pPr>
        <w:autoSpaceDE w:val="0"/>
        <w:autoSpaceDN w:val="0"/>
        <w:adjustRightInd w:val="0"/>
        <w:spacing w:line="360" w:lineRule="auto"/>
        <w:ind w:firstLineChars="225" w:firstLine="540"/>
        <w:jc w:val="left"/>
        <w:rPr>
          <w:rFonts w:ascii="宋体" w:hAnsi="宋体" w:cs="Arial"/>
          <w:bCs/>
          <w:sz w:val="24"/>
        </w:rPr>
      </w:pPr>
      <w:r>
        <w:rPr>
          <w:rFonts w:ascii="宋体" w:hAnsi="宋体" w:cs="Arial"/>
          <w:bCs/>
          <w:sz w:val="24"/>
        </w:rPr>
        <w:t>《基金合同》可印制成册，供投资者在基金管理人、基金托管人、销售机构的办公场所和营业场所查阅。</w:t>
      </w:r>
      <w:bookmarkEnd w:id="0"/>
      <w:bookmarkEnd w:id="570"/>
      <w:bookmarkEnd w:id="571"/>
    </w:p>
    <w:p w14:paraId="3D30B43F" w14:textId="6503FA65" w:rsidR="00AA4009" w:rsidRDefault="00EE61BC" w:rsidP="007E1F8A">
      <w:pPr>
        <w:widowControl/>
        <w:jc w:val="left"/>
        <w:rPr>
          <w:color w:val="000000"/>
          <w:sz w:val="24"/>
        </w:rPr>
      </w:pPr>
      <w:r>
        <w:rPr>
          <w:rFonts w:ascii="宋体" w:hAnsi="宋体" w:cs="Arial"/>
          <w:bCs/>
          <w:sz w:val="24"/>
        </w:rPr>
        <w:br w:type="page"/>
      </w:r>
      <w:r w:rsidR="00AA4009" w:rsidRPr="00FA6CDF">
        <w:rPr>
          <w:rFonts w:hint="eastAsia"/>
          <w:color w:val="000000"/>
          <w:sz w:val="24"/>
        </w:rPr>
        <w:lastRenderedPageBreak/>
        <w:t>（本页无正文，为《</w:t>
      </w:r>
      <w:r w:rsidR="0060068F">
        <w:rPr>
          <w:rFonts w:hint="eastAsia"/>
          <w:color w:val="000000"/>
          <w:sz w:val="24"/>
        </w:rPr>
        <w:t>嘉实中证沪港深云计算产业</w:t>
      </w:r>
      <w:r w:rsidR="00AA4009">
        <w:rPr>
          <w:rFonts w:hint="eastAsia"/>
          <w:color w:val="000000"/>
          <w:sz w:val="24"/>
        </w:rPr>
        <w:t>交易型开放式指数证券投资基金基金合同</w:t>
      </w:r>
      <w:r w:rsidR="00AA4009" w:rsidRPr="00FA6CDF">
        <w:rPr>
          <w:rFonts w:hint="eastAsia"/>
          <w:color w:val="000000"/>
          <w:sz w:val="24"/>
        </w:rPr>
        <w:t>》签署页）</w:t>
      </w:r>
    </w:p>
    <w:p w14:paraId="107FAA4F" w14:textId="77777777" w:rsidR="00AA4009" w:rsidRPr="00FA6CDF" w:rsidRDefault="00AA4009" w:rsidP="00AA4009">
      <w:pPr>
        <w:spacing w:line="360" w:lineRule="auto"/>
        <w:rPr>
          <w:color w:val="000000"/>
          <w:sz w:val="24"/>
        </w:rPr>
      </w:pPr>
    </w:p>
    <w:p w14:paraId="0CB54EE0" w14:textId="77777777" w:rsidR="00AA4009" w:rsidRPr="003D7685" w:rsidRDefault="00AA4009" w:rsidP="00AA4009">
      <w:pPr>
        <w:pStyle w:val="Web"/>
        <w:snapToGrid w:val="0"/>
        <w:spacing w:line="360" w:lineRule="auto"/>
        <w:ind w:firstLine="422"/>
        <w:rPr>
          <w:b/>
        </w:rPr>
      </w:pPr>
      <w:r w:rsidRPr="00FA6CDF">
        <w:rPr>
          <w:b/>
        </w:rPr>
        <w:t>基金</w:t>
      </w:r>
      <w:r w:rsidRPr="00FA6CDF">
        <w:rPr>
          <w:rFonts w:hint="eastAsia"/>
          <w:b/>
        </w:rPr>
        <w:t>管理</w:t>
      </w:r>
      <w:r w:rsidRPr="00FA6CDF">
        <w:rPr>
          <w:b/>
        </w:rPr>
        <w:t>人</w:t>
      </w:r>
      <w:r>
        <w:rPr>
          <w:rFonts w:hint="eastAsia"/>
          <w:b/>
        </w:rPr>
        <w:t>：</w:t>
      </w:r>
      <w:r>
        <w:rPr>
          <w:b/>
        </w:rPr>
        <w:t>嘉</w:t>
      </w:r>
      <w:proofErr w:type="gramStart"/>
      <w:r>
        <w:rPr>
          <w:b/>
        </w:rPr>
        <w:t>实</w:t>
      </w:r>
      <w:r>
        <w:rPr>
          <w:rFonts w:hint="eastAsia"/>
          <w:b/>
        </w:rPr>
        <w:t>基金</w:t>
      </w:r>
      <w:proofErr w:type="gramEnd"/>
      <w:r>
        <w:rPr>
          <w:rFonts w:hint="eastAsia"/>
          <w:b/>
        </w:rPr>
        <w:t>管理有限公司</w:t>
      </w:r>
    </w:p>
    <w:p w14:paraId="229FA75E" w14:textId="77777777" w:rsidR="00AA4009" w:rsidRPr="00FA6CDF" w:rsidRDefault="00AA4009" w:rsidP="00AA4009">
      <w:pPr>
        <w:pStyle w:val="Web"/>
        <w:snapToGrid w:val="0"/>
        <w:spacing w:line="360" w:lineRule="auto"/>
        <w:ind w:firstLine="422"/>
        <w:rPr>
          <w:b/>
        </w:rPr>
      </w:pPr>
    </w:p>
    <w:p w14:paraId="61E47945" w14:textId="77777777" w:rsidR="00AA4009" w:rsidRPr="00FA6CDF" w:rsidRDefault="00AA4009" w:rsidP="00AA4009">
      <w:pPr>
        <w:pStyle w:val="Web"/>
        <w:snapToGrid w:val="0"/>
        <w:spacing w:line="360" w:lineRule="auto"/>
        <w:ind w:firstLine="422"/>
        <w:rPr>
          <w:b/>
        </w:rPr>
      </w:pPr>
      <w:r w:rsidRPr="00FA6CDF">
        <w:rPr>
          <w:b/>
        </w:rPr>
        <w:t>法定代表人</w:t>
      </w:r>
      <w:r w:rsidRPr="00FA6CDF">
        <w:rPr>
          <w:rFonts w:hint="eastAsia"/>
          <w:b/>
        </w:rPr>
        <w:t>或授权</w:t>
      </w:r>
      <w:r>
        <w:rPr>
          <w:rFonts w:hint="eastAsia"/>
          <w:b/>
        </w:rPr>
        <w:t>代表</w:t>
      </w:r>
      <w:r w:rsidRPr="00FA6CDF">
        <w:rPr>
          <w:rFonts w:hint="eastAsia"/>
          <w:b/>
        </w:rPr>
        <w:t>：</w:t>
      </w:r>
    </w:p>
    <w:p w14:paraId="150D27C8" w14:textId="77777777" w:rsidR="00AA4009" w:rsidRPr="00FA6CDF" w:rsidRDefault="00AA4009" w:rsidP="00AA4009">
      <w:pPr>
        <w:pStyle w:val="Web"/>
        <w:snapToGrid w:val="0"/>
        <w:spacing w:line="360" w:lineRule="auto"/>
        <w:ind w:firstLine="422"/>
        <w:rPr>
          <w:b/>
        </w:rPr>
      </w:pPr>
    </w:p>
    <w:p w14:paraId="34BBE3B9" w14:textId="77777777" w:rsidR="00AA4009" w:rsidRPr="00FA6CDF" w:rsidRDefault="00AA4009" w:rsidP="00AA4009">
      <w:pPr>
        <w:pStyle w:val="Web"/>
        <w:snapToGrid w:val="0"/>
        <w:spacing w:line="360" w:lineRule="auto"/>
        <w:ind w:firstLine="422"/>
        <w:rPr>
          <w:b/>
        </w:rPr>
      </w:pPr>
      <w:r w:rsidRPr="00FA6CDF">
        <w:rPr>
          <w:b/>
        </w:rPr>
        <w:t>签订日：</w:t>
      </w:r>
    </w:p>
    <w:p w14:paraId="271BEF4C" w14:textId="77777777" w:rsidR="00AA4009" w:rsidRPr="00FA6CDF" w:rsidRDefault="00AA4009" w:rsidP="00AA4009">
      <w:pPr>
        <w:pStyle w:val="Web"/>
        <w:snapToGrid w:val="0"/>
        <w:spacing w:line="360" w:lineRule="auto"/>
        <w:ind w:firstLine="422"/>
        <w:rPr>
          <w:b/>
        </w:rPr>
      </w:pPr>
      <w:r w:rsidRPr="00FA6CDF">
        <w:rPr>
          <w:b/>
        </w:rPr>
        <w:t>签订地：</w:t>
      </w:r>
      <w:r>
        <w:rPr>
          <w:rFonts w:hint="eastAsia"/>
          <w:b/>
        </w:rPr>
        <w:t>北京</w:t>
      </w:r>
    </w:p>
    <w:p w14:paraId="75B80E33" w14:textId="77777777" w:rsidR="00AA4009" w:rsidRPr="00FA6CDF" w:rsidRDefault="00AA4009" w:rsidP="00AA4009">
      <w:pPr>
        <w:pStyle w:val="Web"/>
        <w:snapToGrid w:val="0"/>
        <w:spacing w:line="360" w:lineRule="auto"/>
        <w:ind w:firstLine="422"/>
        <w:rPr>
          <w:b/>
        </w:rPr>
      </w:pPr>
    </w:p>
    <w:p w14:paraId="3105A155" w14:textId="77777777" w:rsidR="00AA4009" w:rsidRPr="00FA6CDF" w:rsidRDefault="00AA4009" w:rsidP="00AA4009">
      <w:pPr>
        <w:pStyle w:val="Web"/>
        <w:snapToGrid w:val="0"/>
        <w:spacing w:line="360" w:lineRule="auto"/>
        <w:ind w:firstLine="422"/>
        <w:rPr>
          <w:b/>
        </w:rPr>
      </w:pPr>
    </w:p>
    <w:p w14:paraId="400AF572" w14:textId="78B5EA40" w:rsidR="00AA4009" w:rsidRPr="00FA6CDF" w:rsidRDefault="00AA4009" w:rsidP="00AA4009">
      <w:pPr>
        <w:snapToGrid w:val="0"/>
        <w:spacing w:before="100" w:beforeAutospacing="1" w:after="100" w:afterAutospacing="1" w:line="360" w:lineRule="auto"/>
        <w:ind w:firstLine="420"/>
        <w:rPr>
          <w:rFonts w:ascii="宋体" w:hAnsi="宋体"/>
          <w:b/>
          <w:sz w:val="24"/>
        </w:rPr>
      </w:pPr>
      <w:r w:rsidRPr="00FA6CDF">
        <w:rPr>
          <w:rFonts w:ascii="宋体" w:hAnsi="宋体"/>
          <w:b/>
          <w:sz w:val="24"/>
        </w:rPr>
        <w:t>基金</w:t>
      </w:r>
      <w:r w:rsidRPr="00FA6CDF">
        <w:rPr>
          <w:rFonts w:ascii="宋体" w:hAnsi="宋体" w:hint="eastAsia"/>
          <w:b/>
          <w:sz w:val="24"/>
        </w:rPr>
        <w:t>托管</w:t>
      </w:r>
      <w:r w:rsidRPr="00FA6CDF">
        <w:rPr>
          <w:rFonts w:ascii="宋体" w:hAnsi="宋体"/>
          <w:b/>
          <w:sz w:val="24"/>
        </w:rPr>
        <w:t>人：</w:t>
      </w:r>
      <w:r w:rsidR="0060068F">
        <w:rPr>
          <w:rFonts w:ascii="宋体" w:hAnsi="宋体" w:hint="eastAsia"/>
          <w:b/>
          <w:sz w:val="24"/>
        </w:rPr>
        <w:t>中国建设银行</w:t>
      </w:r>
      <w:r>
        <w:rPr>
          <w:rFonts w:ascii="宋体" w:hAnsi="宋体" w:hint="eastAsia"/>
          <w:b/>
          <w:sz w:val="24"/>
        </w:rPr>
        <w:t>股份有限公司</w:t>
      </w:r>
    </w:p>
    <w:p w14:paraId="7F76FFC2" w14:textId="77777777" w:rsidR="00AA4009" w:rsidRPr="00FA6CDF" w:rsidRDefault="00AA4009" w:rsidP="00AA4009">
      <w:pPr>
        <w:pStyle w:val="Web"/>
        <w:snapToGrid w:val="0"/>
        <w:spacing w:line="360" w:lineRule="auto"/>
        <w:ind w:firstLine="422"/>
        <w:rPr>
          <w:b/>
        </w:rPr>
      </w:pPr>
    </w:p>
    <w:p w14:paraId="133EC485" w14:textId="77777777" w:rsidR="00AA4009" w:rsidRPr="00FA6CDF" w:rsidRDefault="00AA4009" w:rsidP="00AA4009">
      <w:pPr>
        <w:pStyle w:val="Web"/>
        <w:snapToGrid w:val="0"/>
        <w:spacing w:line="360" w:lineRule="auto"/>
        <w:ind w:firstLine="422"/>
        <w:rPr>
          <w:b/>
        </w:rPr>
      </w:pPr>
      <w:r w:rsidRPr="00FA6CDF">
        <w:rPr>
          <w:b/>
        </w:rPr>
        <w:t>法定代表人</w:t>
      </w:r>
      <w:r w:rsidRPr="00FA6CDF">
        <w:rPr>
          <w:rFonts w:hint="eastAsia"/>
          <w:b/>
        </w:rPr>
        <w:t>或授权</w:t>
      </w:r>
      <w:r>
        <w:rPr>
          <w:rFonts w:hint="eastAsia"/>
          <w:b/>
        </w:rPr>
        <w:t>代表</w:t>
      </w:r>
      <w:r w:rsidRPr="00FA6CDF">
        <w:rPr>
          <w:rFonts w:hint="eastAsia"/>
          <w:b/>
        </w:rPr>
        <w:t>：</w:t>
      </w:r>
    </w:p>
    <w:p w14:paraId="6A05CC59" w14:textId="77777777" w:rsidR="00AA4009" w:rsidRPr="00FA6CDF" w:rsidRDefault="00AA4009" w:rsidP="00AA4009">
      <w:pPr>
        <w:pStyle w:val="Web"/>
        <w:snapToGrid w:val="0"/>
        <w:spacing w:line="360" w:lineRule="auto"/>
        <w:ind w:firstLine="422"/>
        <w:rPr>
          <w:b/>
        </w:rPr>
      </w:pPr>
    </w:p>
    <w:p w14:paraId="7B7D6EB6" w14:textId="77777777" w:rsidR="00AA4009" w:rsidRPr="00FA6CDF" w:rsidRDefault="00AA4009" w:rsidP="00AA4009">
      <w:pPr>
        <w:pStyle w:val="Web"/>
        <w:snapToGrid w:val="0"/>
        <w:spacing w:line="360" w:lineRule="auto"/>
        <w:ind w:firstLine="422"/>
        <w:rPr>
          <w:b/>
        </w:rPr>
      </w:pPr>
      <w:r w:rsidRPr="00FA6CDF">
        <w:rPr>
          <w:b/>
        </w:rPr>
        <w:t>签订日：</w:t>
      </w:r>
    </w:p>
    <w:p w14:paraId="160D2A0A" w14:textId="0D3DC2FF" w:rsidR="00AA4009" w:rsidRPr="004C0FAA" w:rsidRDefault="00AA4009" w:rsidP="00AA4009">
      <w:pPr>
        <w:autoSpaceDE w:val="0"/>
        <w:autoSpaceDN w:val="0"/>
        <w:adjustRightInd w:val="0"/>
        <w:spacing w:line="360" w:lineRule="auto"/>
        <w:ind w:right="1260" w:firstLine="420"/>
        <w:rPr>
          <w:bCs/>
          <w:sz w:val="24"/>
        </w:rPr>
      </w:pPr>
      <w:r w:rsidRPr="00FA6CDF">
        <w:rPr>
          <w:rFonts w:ascii="宋体" w:hAnsi="宋体"/>
          <w:b/>
          <w:sz w:val="24"/>
        </w:rPr>
        <w:t>签订地：</w:t>
      </w:r>
    </w:p>
    <w:p w14:paraId="12128718" w14:textId="77777777" w:rsidR="00AA4009" w:rsidRDefault="00AA4009" w:rsidP="00AA4009">
      <w:pPr>
        <w:spacing w:line="360" w:lineRule="auto"/>
        <w:jc w:val="left"/>
        <w:rPr>
          <w:bCs/>
          <w:sz w:val="24"/>
        </w:rPr>
      </w:pPr>
    </w:p>
    <w:bookmarkEnd w:id="1"/>
    <w:bookmarkEnd w:id="2"/>
    <w:p w14:paraId="79C55C5C" w14:textId="77777777" w:rsidR="00C52815" w:rsidRDefault="00C52815" w:rsidP="000F1893">
      <w:pPr>
        <w:jc w:val="left"/>
        <w:rPr>
          <w:rFonts w:ascii="宋体" w:hAnsi="宋体"/>
          <w:sz w:val="24"/>
          <w:szCs w:val="24"/>
        </w:rPr>
      </w:pPr>
    </w:p>
    <w:sectPr w:rsidR="00C52815">
      <w:headerReference w:type="default" r:id="rId13"/>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6B89C" w14:textId="77777777" w:rsidR="00E25348" w:rsidRDefault="00E25348">
      <w:r>
        <w:separator/>
      </w:r>
    </w:p>
  </w:endnote>
  <w:endnote w:type="continuationSeparator" w:id="0">
    <w:p w14:paraId="68703F96" w14:textId="77777777" w:rsidR="00E25348" w:rsidRDefault="00E25348">
      <w:r>
        <w:continuationSeparator/>
      </w:r>
    </w:p>
  </w:endnote>
  <w:endnote w:type="continuationNotice" w:id="1">
    <w:p w14:paraId="1A584C83" w14:textId="77777777" w:rsidR="00E25348" w:rsidRDefault="00E25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02C8A" w14:textId="07C385A8" w:rsidR="005F34D1" w:rsidRDefault="005F34D1">
    <w:pPr>
      <w:pStyle w:val="ab"/>
      <w:framePr w:wrap="around" w:vAnchor="text" w:hAnchor="margin" w:xAlign="center" w:yAlign="top"/>
    </w:pPr>
    <w:r>
      <w:rPr>
        <w:rFonts w:hint="eastAsia"/>
      </w:rPr>
      <w:t>3-</w:t>
    </w:r>
    <w:r>
      <w:rPr>
        <w:rFonts w:hint="eastAsia"/>
      </w:rPr>
      <w:fldChar w:fldCharType="begin"/>
    </w:r>
    <w:r>
      <w:rPr>
        <w:rStyle w:val="af3"/>
        <w:rFonts w:hint="eastAsia"/>
      </w:rPr>
      <w:instrText xml:space="preserve"> PAGE  </w:instrText>
    </w:r>
    <w:r>
      <w:rPr>
        <w:rFonts w:hint="eastAsia"/>
      </w:rPr>
      <w:fldChar w:fldCharType="separate"/>
    </w:r>
    <w:r>
      <w:rPr>
        <w:rStyle w:val="af3"/>
        <w:noProof/>
      </w:rPr>
      <w:t>2</w:t>
    </w:r>
    <w:r>
      <w:rPr>
        <w:rFonts w:hint="eastAsia"/>
      </w:rPr>
      <w:fldChar w:fldCharType="end"/>
    </w:r>
  </w:p>
  <w:p w14:paraId="57697AC1" w14:textId="77777777" w:rsidR="005F34D1" w:rsidRDefault="005F34D1">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F9DC6" w14:textId="77777777" w:rsidR="005F34D1" w:rsidRDefault="005F34D1">
    <w:pPr>
      <w:pStyle w:val="ab"/>
    </w:pPr>
  </w:p>
  <w:p w14:paraId="2D74A6AC" w14:textId="77777777" w:rsidR="005F34D1" w:rsidRDefault="005F34D1">
    <w:pPr>
      <w:pStyle w:val="ab"/>
    </w:pPr>
  </w:p>
  <w:p w14:paraId="6F2AE3FB" w14:textId="77777777" w:rsidR="005F34D1" w:rsidRDefault="005F34D1">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2A82D" w14:textId="77777777" w:rsidR="005F34D1" w:rsidRDefault="005F34D1">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052811"/>
    </w:sdtPr>
    <w:sdtEndPr/>
    <w:sdtContent>
      <w:p w14:paraId="1ACC6A20" w14:textId="157ED0EC" w:rsidR="005F34D1" w:rsidRDefault="005F34D1">
        <w:pPr>
          <w:pStyle w:val="ab"/>
          <w:jc w:val="center"/>
        </w:pPr>
        <w:r>
          <w:fldChar w:fldCharType="begin"/>
        </w:r>
        <w:r>
          <w:instrText>PAGE   \* MERGEFORMAT</w:instrText>
        </w:r>
        <w:r>
          <w:fldChar w:fldCharType="separate"/>
        </w:r>
        <w:r w:rsidR="00035F6A" w:rsidRPr="00035F6A">
          <w:rPr>
            <w:noProof/>
            <w:lang w:val="zh-CN"/>
          </w:rPr>
          <w:t>24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E0367" w14:textId="77777777" w:rsidR="00E25348" w:rsidRDefault="00E25348">
      <w:r>
        <w:separator/>
      </w:r>
    </w:p>
  </w:footnote>
  <w:footnote w:type="continuationSeparator" w:id="0">
    <w:p w14:paraId="21D89395" w14:textId="77777777" w:rsidR="00E25348" w:rsidRDefault="00E25348">
      <w:r>
        <w:continuationSeparator/>
      </w:r>
    </w:p>
  </w:footnote>
  <w:footnote w:type="continuationNotice" w:id="1">
    <w:p w14:paraId="5006B022" w14:textId="77777777" w:rsidR="00E25348" w:rsidRDefault="00E253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4DE21" w14:textId="77777777" w:rsidR="005F34D1" w:rsidRDefault="005F34D1">
    <w:pPr>
      <w:pStyle w:val="ad"/>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6A89B" w14:textId="576B03DC" w:rsidR="005F34D1" w:rsidRDefault="005F34D1">
    <w:pPr>
      <w:pStyle w:val="ad"/>
      <w:pBdr>
        <w:bottom w:val="thickThinLargeGap" w:sz="24" w:space="10" w:color="auto"/>
      </w:pBdr>
      <w:tabs>
        <w:tab w:val="right" w:pos="8280"/>
      </w:tabs>
      <w:adjustRightInd w:val="0"/>
      <w:jc w:val="both"/>
    </w:pPr>
    <w:r>
      <w:rPr>
        <w:rFonts w:hint="eastAsia"/>
        <w:color w:val="000000"/>
      </w:rPr>
      <w:t>嘉实</w:t>
    </w:r>
    <w:proofErr w:type="gramStart"/>
    <w:r>
      <w:rPr>
        <w:rFonts w:hint="eastAsia"/>
        <w:color w:val="000000"/>
      </w:rPr>
      <w:t>中证沪港</w:t>
    </w:r>
    <w:proofErr w:type="gramEnd"/>
    <w:r>
      <w:rPr>
        <w:rFonts w:hint="eastAsia"/>
        <w:color w:val="000000"/>
      </w:rPr>
      <w:t>深</w:t>
    </w:r>
    <w:proofErr w:type="gramStart"/>
    <w:r>
      <w:rPr>
        <w:rFonts w:hint="eastAsia"/>
        <w:color w:val="000000"/>
      </w:rPr>
      <w:t>云计算</w:t>
    </w:r>
    <w:proofErr w:type="gramEnd"/>
    <w:r>
      <w:rPr>
        <w:rFonts w:hint="eastAsia"/>
        <w:color w:val="000000"/>
      </w:rPr>
      <w:t>产业交易型开放式指数证券投资基金</w:t>
    </w:r>
    <w:r>
      <w:rPr>
        <w:rFonts w:hint="eastAsia"/>
        <w:color w:val="000000"/>
      </w:rPr>
      <w:t xml:space="preserve">                     </w:t>
    </w:r>
    <w:r>
      <w:rPr>
        <w:color w:val="000000"/>
      </w:rPr>
      <w:t xml:space="preserve">    </w:t>
    </w:r>
    <w:r>
      <w:rPr>
        <w:rFonts w:hint="eastAsia"/>
      </w:rPr>
      <w:t>基金合同</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9196B" w14:textId="1CD6AEFF" w:rsidR="005F34D1" w:rsidRDefault="005F34D1">
    <w:pPr>
      <w:pStyle w:val="ad"/>
      <w:pBdr>
        <w:bottom w:val="thickThinLargeGap" w:sz="24" w:space="10" w:color="auto"/>
      </w:pBdr>
      <w:tabs>
        <w:tab w:val="right" w:pos="8280"/>
      </w:tabs>
      <w:adjustRightInd w:val="0"/>
      <w:jc w:val="both"/>
    </w:pPr>
    <w:r>
      <w:rPr>
        <w:rFonts w:hint="eastAsia"/>
        <w:color w:val="000000"/>
      </w:rPr>
      <w:t>嘉实</w:t>
    </w:r>
    <w:proofErr w:type="gramStart"/>
    <w:r>
      <w:rPr>
        <w:rFonts w:hint="eastAsia"/>
        <w:color w:val="000000"/>
      </w:rPr>
      <w:t>中证沪港</w:t>
    </w:r>
    <w:proofErr w:type="gramEnd"/>
    <w:r>
      <w:rPr>
        <w:rFonts w:hint="eastAsia"/>
        <w:color w:val="000000"/>
      </w:rPr>
      <w:t>深</w:t>
    </w:r>
    <w:proofErr w:type="gramStart"/>
    <w:r>
      <w:rPr>
        <w:rFonts w:hint="eastAsia"/>
        <w:color w:val="000000"/>
      </w:rPr>
      <w:t>云计算</w:t>
    </w:r>
    <w:proofErr w:type="gramEnd"/>
    <w:r>
      <w:rPr>
        <w:rFonts w:hint="eastAsia"/>
        <w:color w:val="000000"/>
      </w:rPr>
      <w:t>产业交易型开放式指数证券投资基金</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hint="eastAsia"/>
        <w:color w:val="000000"/>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B6CAD2"/>
    <w:multiLevelType w:val="singleLevel"/>
    <w:tmpl w:val="8DB6CAD2"/>
    <w:lvl w:ilvl="0">
      <w:start w:val="1"/>
      <w:numFmt w:val="decimal"/>
      <w:suff w:val="nothing"/>
      <w:lvlText w:val="%1、"/>
      <w:lvlJc w:val="left"/>
    </w:lvl>
  </w:abstractNum>
  <w:abstractNum w:abstractNumId="1" w15:restartNumberingAfterBreak="0">
    <w:nsid w:val="0000000A"/>
    <w:multiLevelType w:val="singleLevel"/>
    <w:tmpl w:val="0000000A"/>
    <w:lvl w:ilvl="0">
      <w:start w:val="4"/>
      <w:numFmt w:val="chineseCounting"/>
      <w:suff w:val="nothing"/>
      <w:lvlText w:val="%1、"/>
      <w:lvlJc w:val="left"/>
    </w:lvl>
  </w:abstractNum>
  <w:abstractNum w:abstractNumId="2"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3" w15:restartNumberingAfterBreak="0">
    <w:nsid w:val="0D176EF5"/>
    <w:multiLevelType w:val="multilevel"/>
    <w:tmpl w:val="0D176EF5"/>
    <w:lvl w:ilvl="0">
      <w:start w:val="1"/>
      <w:numFmt w:val="decimal"/>
      <w:suff w:val="nothing"/>
      <w:lvlText w:val="%1、"/>
      <w:lvlJc w:val="left"/>
      <w:pPr>
        <w:ind w:left="420" w:hanging="420"/>
      </w:pPr>
      <w:rPr>
        <w:rFonts w:hint="eastAsia"/>
        <w:snapToGrid w:val="0"/>
        <w:spacing w:val="0"/>
        <w:kern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proofState w:grammar="clean"/>
  <w:defaultTabStop w:val="420"/>
  <w:drawingGridVerticalSpacing w:val="156"/>
  <w:displayHorizontalDrawingGridEvery w:val="0"/>
  <w:displayVertic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xZmM0NGFjMzRmYzk2MDIyZjcyMDllY2ZlOGQ0YzIifQ=="/>
  </w:docVars>
  <w:rsids>
    <w:rsidRoot w:val="00172A27"/>
    <w:rsid w:val="BFFB1BF2"/>
    <w:rsid w:val="F6B0C0A1"/>
    <w:rsid w:val="0000013D"/>
    <w:rsid w:val="00000C9E"/>
    <w:rsid w:val="00000F5B"/>
    <w:rsid w:val="00003CB0"/>
    <w:rsid w:val="00004AE0"/>
    <w:rsid w:val="00004DF4"/>
    <w:rsid w:val="00010C99"/>
    <w:rsid w:val="000113B2"/>
    <w:rsid w:val="0001153C"/>
    <w:rsid w:val="00013078"/>
    <w:rsid w:val="000149B5"/>
    <w:rsid w:val="00015314"/>
    <w:rsid w:val="00015537"/>
    <w:rsid w:val="00015E38"/>
    <w:rsid w:val="00015E50"/>
    <w:rsid w:val="00020686"/>
    <w:rsid w:val="000212A9"/>
    <w:rsid w:val="00022E73"/>
    <w:rsid w:val="000235CA"/>
    <w:rsid w:val="00023BFF"/>
    <w:rsid w:val="00024D61"/>
    <w:rsid w:val="00025D84"/>
    <w:rsid w:val="0002665A"/>
    <w:rsid w:val="00026EA7"/>
    <w:rsid w:val="000302C2"/>
    <w:rsid w:val="00030A68"/>
    <w:rsid w:val="00031899"/>
    <w:rsid w:val="000326AD"/>
    <w:rsid w:val="00032BB0"/>
    <w:rsid w:val="00032DBA"/>
    <w:rsid w:val="00033B0E"/>
    <w:rsid w:val="0003414D"/>
    <w:rsid w:val="000349FD"/>
    <w:rsid w:val="00035AE8"/>
    <w:rsid w:val="00035F6A"/>
    <w:rsid w:val="00040A7F"/>
    <w:rsid w:val="00041270"/>
    <w:rsid w:val="000418BD"/>
    <w:rsid w:val="000423A0"/>
    <w:rsid w:val="000424C4"/>
    <w:rsid w:val="00042AD9"/>
    <w:rsid w:val="000437BC"/>
    <w:rsid w:val="000438E0"/>
    <w:rsid w:val="000474BD"/>
    <w:rsid w:val="0005203F"/>
    <w:rsid w:val="000522A1"/>
    <w:rsid w:val="00054AA3"/>
    <w:rsid w:val="00056586"/>
    <w:rsid w:val="00057DB3"/>
    <w:rsid w:val="00057FAA"/>
    <w:rsid w:val="00060F3F"/>
    <w:rsid w:val="00065103"/>
    <w:rsid w:val="00066B48"/>
    <w:rsid w:val="00066E71"/>
    <w:rsid w:val="000673FE"/>
    <w:rsid w:val="00067577"/>
    <w:rsid w:val="0007595B"/>
    <w:rsid w:val="0007596F"/>
    <w:rsid w:val="00077A52"/>
    <w:rsid w:val="0008094A"/>
    <w:rsid w:val="00080D93"/>
    <w:rsid w:val="00081115"/>
    <w:rsid w:val="00082635"/>
    <w:rsid w:val="00082D5A"/>
    <w:rsid w:val="00084C67"/>
    <w:rsid w:val="0008545F"/>
    <w:rsid w:val="00086B69"/>
    <w:rsid w:val="00086D32"/>
    <w:rsid w:val="00087AD8"/>
    <w:rsid w:val="00090F7E"/>
    <w:rsid w:val="00091AE8"/>
    <w:rsid w:val="00091C77"/>
    <w:rsid w:val="000924F7"/>
    <w:rsid w:val="00093475"/>
    <w:rsid w:val="00094389"/>
    <w:rsid w:val="00095F90"/>
    <w:rsid w:val="0009646F"/>
    <w:rsid w:val="00096739"/>
    <w:rsid w:val="000A0803"/>
    <w:rsid w:val="000A0AC8"/>
    <w:rsid w:val="000A1579"/>
    <w:rsid w:val="000A1783"/>
    <w:rsid w:val="000A3EDB"/>
    <w:rsid w:val="000A4F5C"/>
    <w:rsid w:val="000A580C"/>
    <w:rsid w:val="000B191F"/>
    <w:rsid w:val="000B22FB"/>
    <w:rsid w:val="000B2673"/>
    <w:rsid w:val="000B3F6F"/>
    <w:rsid w:val="000B4077"/>
    <w:rsid w:val="000B569B"/>
    <w:rsid w:val="000B583C"/>
    <w:rsid w:val="000B603C"/>
    <w:rsid w:val="000B7BBE"/>
    <w:rsid w:val="000C0852"/>
    <w:rsid w:val="000C0FA3"/>
    <w:rsid w:val="000C1223"/>
    <w:rsid w:val="000C18C4"/>
    <w:rsid w:val="000C1EE8"/>
    <w:rsid w:val="000C2F8F"/>
    <w:rsid w:val="000C3DEC"/>
    <w:rsid w:val="000C462D"/>
    <w:rsid w:val="000C4699"/>
    <w:rsid w:val="000C481F"/>
    <w:rsid w:val="000C5D17"/>
    <w:rsid w:val="000C5E0D"/>
    <w:rsid w:val="000D0614"/>
    <w:rsid w:val="000D102D"/>
    <w:rsid w:val="000D2D74"/>
    <w:rsid w:val="000D2FF8"/>
    <w:rsid w:val="000D38ED"/>
    <w:rsid w:val="000D43B8"/>
    <w:rsid w:val="000D54D3"/>
    <w:rsid w:val="000D5F7E"/>
    <w:rsid w:val="000D61F2"/>
    <w:rsid w:val="000D66F8"/>
    <w:rsid w:val="000D744E"/>
    <w:rsid w:val="000E04A7"/>
    <w:rsid w:val="000E10E0"/>
    <w:rsid w:val="000E3A57"/>
    <w:rsid w:val="000E4F99"/>
    <w:rsid w:val="000E5EA3"/>
    <w:rsid w:val="000E6628"/>
    <w:rsid w:val="000E74AC"/>
    <w:rsid w:val="000F17FC"/>
    <w:rsid w:val="000F1893"/>
    <w:rsid w:val="000F2591"/>
    <w:rsid w:val="000F5AB6"/>
    <w:rsid w:val="000F6249"/>
    <w:rsid w:val="000F6B26"/>
    <w:rsid w:val="000F6C71"/>
    <w:rsid w:val="000F71FA"/>
    <w:rsid w:val="000F7294"/>
    <w:rsid w:val="000F760A"/>
    <w:rsid w:val="000F772C"/>
    <w:rsid w:val="000F777E"/>
    <w:rsid w:val="000F79F8"/>
    <w:rsid w:val="00102C75"/>
    <w:rsid w:val="00103341"/>
    <w:rsid w:val="00104D96"/>
    <w:rsid w:val="00106567"/>
    <w:rsid w:val="00106CB9"/>
    <w:rsid w:val="001107EC"/>
    <w:rsid w:val="00110EA7"/>
    <w:rsid w:val="00111E6A"/>
    <w:rsid w:val="001123C3"/>
    <w:rsid w:val="00113A04"/>
    <w:rsid w:val="0011622C"/>
    <w:rsid w:val="00117584"/>
    <w:rsid w:val="00121472"/>
    <w:rsid w:val="0012325B"/>
    <w:rsid w:val="0012363A"/>
    <w:rsid w:val="001246A6"/>
    <w:rsid w:val="001268BA"/>
    <w:rsid w:val="001272DE"/>
    <w:rsid w:val="00131131"/>
    <w:rsid w:val="00133B1B"/>
    <w:rsid w:val="0013589F"/>
    <w:rsid w:val="001369BA"/>
    <w:rsid w:val="001370ED"/>
    <w:rsid w:val="00140751"/>
    <w:rsid w:val="00141275"/>
    <w:rsid w:val="00141C51"/>
    <w:rsid w:val="00142530"/>
    <w:rsid w:val="001425EE"/>
    <w:rsid w:val="00153CD6"/>
    <w:rsid w:val="001559C4"/>
    <w:rsid w:val="00155FD8"/>
    <w:rsid w:val="00156A1E"/>
    <w:rsid w:val="001571F8"/>
    <w:rsid w:val="00157FEC"/>
    <w:rsid w:val="001601E3"/>
    <w:rsid w:val="001655E3"/>
    <w:rsid w:val="00166457"/>
    <w:rsid w:val="00167C78"/>
    <w:rsid w:val="00170437"/>
    <w:rsid w:val="00171D83"/>
    <w:rsid w:val="00172A27"/>
    <w:rsid w:val="001735DD"/>
    <w:rsid w:val="00174204"/>
    <w:rsid w:val="00174A16"/>
    <w:rsid w:val="00175787"/>
    <w:rsid w:val="001757CF"/>
    <w:rsid w:val="00176B98"/>
    <w:rsid w:val="0018080D"/>
    <w:rsid w:val="00181129"/>
    <w:rsid w:val="001812B3"/>
    <w:rsid w:val="00183711"/>
    <w:rsid w:val="001839FD"/>
    <w:rsid w:val="001841E7"/>
    <w:rsid w:val="00184494"/>
    <w:rsid w:val="00184947"/>
    <w:rsid w:val="00185D91"/>
    <w:rsid w:val="0018707D"/>
    <w:rsid w:val="001875EA"/>
    <w:rsid w:val="00187905"/>
    <w:rsid w:val="00187B0B"/>
    <w:rsid w:val="00190423"/>
    <w:rsid w:val="001909E3"/>
    <w:rsid w:val="001916F7"/>
    <w:rsid w:val="00191F5C"/>
    <w:rsid w:val="00192560"/>
    <w:rsid w:val="00192BFA"/>
    <w:rsid w:val="00192CC0"/>
    <w:rsid w:val="001942CE"/>
    <w:rsid w:val="001945D4"/>
    <w:rsid w:val="00195437"/>
    <w:rsid w:val="001977F6"/>
    <w:rsid w:val="001A1B05"/>
    <w:rsid w:val="001A3DED"/>
    <w:rsid w:val="001A559D"/>
    <w:rsid w:val="001A5980"/>
    <w:rsid w:val="001B01DE"/>
    <w:rsid w:val="001B051D"/>
    <w:rsid w:val="001B0BCE"/>
    <w:rsid w:val="001B1C5B"/>
    <w:rsid w:val="001B2060"/>
    <w:rsid w:val="001B2A77"/>
    <w:rsid w:val="001B2D6C"/>
    <w:rsid w:val="001B542E"/>
    <w:rsid w:val="001B5542"/>
    <w:rsid w:val="001B630D"/>
    <w:rsid w:val="001B69E9"/>
    <w:rsid w:val="001B756A"/>
    <w:rsid w:val="001C0F27"/>
    <w:rsid w:val="001C2261"/>
    <w:rsid w:val="001C276E"/>
    <w:rsid w:val="001C7242"/>
    <w:rsid w:val="001C7736"/>
    <w:rsid w:val="001C7C51"/>
    <w:rsid w:val="001D2725"/>
    <w:rsid w:val="001D3A91"/>
    <w:rsid w:val="001D51E5"/>
    <w:rsid w:val="001D6FBF"/>
    <w:rsid w:val="001D7879"/>
    <w:rsid w:val="001D7A1C"/>
    <w:rsid w:val="001E0952"/>
    <w:rsid w:val="001E1DFC"/>
    <w:rsid w:val="001E2B68"/>
    <w:rsid w:val="001E2D6D"/>
    <w:rsid w:val="001E5398"/>
    <w:rsid w:val="001E7A17"/>
    <w:rsid w:val="001F0DFE"/>
    <w:rsid w:val="001F20A5"/>
    <w:rsid w:val="001F32FF"/>
    <w:rsid w:val="001F4141"/>
    <w:rsid w:val="001F64E1"/>
    <w:rsid w:val="001F6E08"/>
    <w:rsid w:val="001F745B"/>
    <w:rsid w:val="00201921"/>
    <w:rsid w:val="00202CDB"/>
    <w:rsid w:val="002034F5"/>
    <w:rsid w:val="00204552"/>
    <w:rsid w:val="0020538C"/>
    <w:rsid w:val="00205B38"/>
    <w:rsid w:val="00205C1C"/>
    <w:rsid w:val="00207CB3"/>
    <w:rsid w:val="00210597"/>
    <w:rsid w:val="002106ED"/>
    <w:rsid w:val="002115D6"/>
    <w:rsid w:val="00212A28"/>
    <w:rsid w:val="0021370D"/>
    <w:rsid w:val="0021409A"/>
    <w:rsid w:val="00214165"/>
    <w:rsid w:val="002146DC"/>
    <w:rsid w:val="002151A4"/>
    <w:rsid w:val="00215FC3"/>
    <w:rsid w:val="0021747A"/>
    <w:rsid w:val="002179AD"/>
    <w:rsid w:val="00217B33"/>
    <w:rsid w:val="00217BE3"/>
    <w:rsid w:val="002206EE"/>
    <w:rsid w:val="002217A1"/>
    <w:rsid w:val="00221A0D"/>
    <w:rsid w:val="00221E65"/>
    <w:rsid w:val="0022419D"/>
    <w:rsid w:val="002253B8"/>
    <w:rsid w:val="002254C2"/>
    <w:rsid w:val="002279BD"/>
    <w:rsid w:val="0023072E"/>
    <w:rsid w:val="00230C1B"/>
    <w:rsid w:val="00230F82"/>
    <w:rsid w:val="002314AE"/>
    <w:rsid w:val="002322CF"/>
    <w:rsid w:val="002335F7"/>
    <w:rsid w:val="00233692"/>
    <w:rsid w:val="00234DF2"/>
    <w:rsid w:val="00236494"/>
    <w:rsid w:val="002372FA"/>
    <w:rsid w:val="00237832"/>
    <w:rsid w:val="0024118A"/>
    <w:rsid w:val="00244851"/>
    <w:rsid w:val="002532B8"/>
    <w:rsid w:val="002538CC"/>
    <w:rsid w:val="00255D59"/>
    <w:rsid w:val="00255D6E"/>
    <w:rsid w:val="002568E1"/>
    <w:rsid w:val="00256BE3"/>
    <w:rsid w:val="00256C66"/>
    <w:rsid w:val="002613D3"/>
    <w:rsid w:val="00261B1A"/>
    <w:rsid w:val="00261C15"/>
    <w:rsid w:val="00263A04"/>
    <w:rsid w:val="00264636"/>
    <w:rsid w:val="002648AA"/>
    <w:rsid w:val="00264A3D"/>
    <w:rsid w:val="002656F2"/>
    <w:rsid w:val="00265930"/>
    <w:rsid w:val="00265F81"/>
    <w:rsid w:val="00267B91"/>
    <w:rsid w:val="00270387"/>
    <w:rsid w:val="002720C2"/>
    <w:rsid w:val="00273093"/>
    <w:rsid w:val="002743AE"/>
    <w:rsid w:val="00275732"/>
    <w:rsid w:val="00275B05"/>
    <w:rsid w:val="00275EB1"/>
    <w:rsid w:val="0027632B"/>
    <w:rsid w:val="00276FB0"/>
    <w:rsid w:val="00277228"/>
    <w:rsid w:val="002801C4"/>
    <w:rsid w:val="0028057E"/>
    <w:rsid w:val="00280D04"/>
    <w:rsid w:val="00282BE8"/>
    <w:rsid w:val="00283893"/>
    <w:rsid w:val="002840F1"/>
    <w:rsid w:val="00284E2A"/>
    <w:rsid w:val="00291C32"/>
    <w:rsid w:val="00292657"/>
    <w:rsid w:val="002927D9"/>
    <w:rsid w:val="00294F32"/>
    <w:rsid w:val="00295C62"/>
    <w:rsid w:val="002A02AB"/>
    <w:rsid w:val="002A08D1"/>
    <w:rsid w:val="002A1C9E"/>
    <w:rsid w:val="002A2F9C"/>
    <w:rsid w:val="002A3B05"/>
    <w:rsid w:val="002A435C"/>
    <w:rsid w:val="002A4E74"/>
    <w:rsid w:val="002B0130"/>
    <w:rsid w:val="002B1CF1"/>
    <w:rsid w:val="002B7B07"/>
    <w:rsid w:val="002C1AD0"/>
    <w:rsid w:val="002C362A"/>
    <w:rsid w:val="002C4D58"/>
    <w:rsid w:val="002C508C"/>
    <w:rsid w:val="002C631C"/>
    <w:rsid w:val="002C6534"/>
    <w:rsid w:val="002C7AE6"/>
    <w:rsid w:val="002C7B8D"/>
    <w:rsid w:val="002D2AC2"/>
    <w:rsid w:val="002D3729"/>
    <w:rsid w:val="002D5569"/>
    <w:rsid w:val="002D58DD"/>
    <w:rsid w:val="002D648E"/>
    <w:rsid w:val="002D6615"/>
    <w:rsid w:val="002E05A5"/>
    <w:rsid w:val="002E09EB"/>
    <w:rsid w:val="002E0B96"/>
    <w:rsid w:val="002E2C70"/>
    <w:rsid w:val="002E3784"/>
    <w:rsid w:val="002E379B"/>
    <w:rsid w:val="002E48A6"/>
    <w:rsid w:val="002E6622"/>
    <w:rsid w:val="002E7A15"/>
    <w:rsid w:val="002F0C51"/>
    <w:rsid w:val="002F2807"/>
    <w:rsid w:val="002F46EA"/>
    <w:rsid w:val="002F536E"/>
    <w:rsid w:val="002F6B13"/>
    <w:rsid w:val="00301081"/>
    <w:rsid w:val="003010D9"/>
    <w:rsid w:val="0030131F"/>
    <w:rsid w:val="00301604"/>
    <w:rsid w:val="00301D44"/>
    <w:rsid w:val="003026E2"/>
    <w:rsid w:val="00304C6D"/>
    <w:rsid w:val="00305CFA"/>
    <w:rsid w:val="003071F8"/>
    <w:rsid w:val="00307622"/>
    <w:rsid w:val="00307909"/>
    <w:rsid w:val="003103D5"/>
    <w:rsid w:val="00311B5D"/>
    <w:rsid w:val="0031354C"/>
    <w:rsid w:val="003141B5"/>
    <w:rsid w:val="00314F83"/>
    <w:rsid w:val="00315682"/>
    <w:rsid w:val="0031660C"/>
    <w:rsid w:val="00317B15"/>
    <w:rsid w:val="003235EA"/>
    <w:rsid w:val="00323C0F"/>
    <w:rsid w:val="00324A42"/>
    <w:rsid w:val="00325361"/>
    <w:rsid w:val="00325972"/>
    <w:rsid w:val="00327460"/>
    <w:rsid w:val="0033131B"/>
    <w:rsid w:val="00331AB9"/>
    <w:rsid w:val="00332B72"/>
    <w:rsid w:val="0033363E"/>
    <w:rsid w:val="0033384A"/>
    <w:rsid w:val="003353D0"/>
    <w:rsid w:val="003355E1"/>
    <w:rsid w:val="00336977"/>
    <w:rsid w:val="00337C93"/>
    <w:rsid w:val="00337F25"/>
    <w:rsid w:val="003413C5"/>
    <w:rsid w:val="003413EE"/>
    <w:rsid w:val="003417A3"/>
    <w:rsid w:val="00341861"/>
    <w:rsid w:val="00343B65"/>
    <w:rsid w:val="00343D78"/>
    <w:rsid w:val="00344D0C"/>
    <w:rsid w:val="00345D66"/>
    <w:rsid w:val="003463C9"/>
    <w:rsid w:val="00350E5E"/>
    <w:rsid w:val="00350F0B"/>
    <w:rsid w:val="00352235"/>
    <w:rsid w:val="00352CE6"/>
    <w:rsid w:val="00353A99"/>
    <w:rsid w:val="00355558"/>
    <w:rsid w:val="003566B9"/>
    <w:rsid w:val="00356760"/>
    <w:rsid w:val="00356C04"/>
    <w:rsid w:val="00357821"/>
    <w:rsid w:val="00360FB9"/>
    <w:rsid w:val="0036147C"/>
    <w:rsid w:val="00361F8C"/>
    <w:rsid w:val="003625B5"/>
    <w:rsid w:val="00365960"/>
    <w:rsid w:val="00366FC5"/>
    <w:rsid w:val="00367A9B"/>
    <w:rsid w:val="00367D68"/>
    <w:rsid w:val="0037016B"/>
    <w:rsid w:val="0037108E"/>
    <w:rsid w:val="00374B3A"/>
    <w:rsid w:val="00375116"/>
    <w:rsid w:val="00375B21"/>
    <w:rsid w:val="00375B29"/>
    <w:rsid w:val="00376407"/>
    <w:rsid w:val="00377527"/>
    <w:rsid w:val="00381453"/>
    <w:rsid w:val="00381B11"/>
    <w:rsid w:val="003842F7"/>
    <w:rsid w:val="003849CD"/>
    <w:rsid w:val="00386AC6"/>
    <w:rsid w:val="003902F5"/>
    <w:rsid w:val="00390844"/>
    <w:rsid w:val="00392FB1"/>
    <w:rsid w:val="00393596"/>
    <w:rsid w:val="0039362E"/>
    <w:rsid w:val="00394A80"/>
    <w:rsid w:val="00394B62"/>
    <w:rsid w:val="00395F77"/>
    <w:rsid w:val="00396964"/>
    <w:rsid w:val="003A02CE"/>
    <w:rsid w:val="003A0602"/>
    <w:rsid w:val="003A0744"/>
    <w:rsid w:val="003A0C23"/>
    <w:rsid w:val="003A101B"/>
    <w:rsid w:val="003A1DD8"/>
    <w:rsid w:val="003A296E"/>
    <w:rsid w:val="003A391B"/>
    <w:rsid w:val="003A3ED7"/>
    <w:rsid w:val="003A3F5F"/>
    <w:rsid w:val="003A4293"/>
    <w:rsid w:val="003A6479"/>
    <w:rsid w:val="003A67FC"/>
    <w:rsid w:val="003A6EF6"/>
    <w:rsid w:val="003B1A9C"/>
    <w:rsid w:val="003B440E"/>
    <w:rsid w:val="003B6C5D"/>
    <w:rsid w:val="003B7428"/>
    <w:rsid w:val="003B76C4"/>
    <w:rsid w:val="003C1D73"/>
    <w:rsid w:val="003C22D3"/>
    <w:rsid w:val="003C42B1"/>
    <w:rsid w:val="003C4702"/>
    <w:rsid w:val="003C5FBD"/>
    <w:rsid w:val="003C6C1B"/>
    <w:rsid w:val="003D0C2D"/>
    <w:rsid w:val="003D1F18"/>
    <w:rsid w:val="003D21F8"/>
    <w:rsid w:val="003D2CDD"/>
    <w:rsid w:val="003D2F80"/>
    <w:rsid w:val="003D334B"/>
    <w:rsid w:val="003D34FF"/>
    <w:rsid w:val="003D6E73"/>
    <w:rsid w:val="003D77AF"/>
    <w:rsid w:val="003E1A5B"/>
    <w:rsid w:val="003E48F5"/>
    <w:rsid w:val="003E4AC1"/>
    <w:rsid w:val="003E56E6"/>
    <w:rsid w:val="003E5911"/>
    <w:rsid w:val="003F251B"/>
    <w:rsid w:val="003F26B4"/>
    <w:rsid w:val="003F2F7F"/>
    <w:rsid w:val="003F584B"/>
    <w:rsid w:val="003F6A3B"/>
    <w:rsid w:val="003F6DD6"/>
    <w:rsid w:val="003F7141"/>
    <w:rsid w:val="003F7511"/>
    <w:rsid w:val="004016EB"/>
    <w:rsid w:val="0040178F"/>
    <w:rsid w:val="004037F0"/>
    <w:rsid w:val="004040C9"/>
    <w:rsid w:val="0040554F"/>
    <w:rsid w:val="00405B23"/>
    <w:rsid w:val="00405DF1"/>
    <w:rsid w:val="004109B3"/>
    <w:rsid w:val="00411186"/>
    <w:rsid w:val="00413E15"/>
    <w:rsid w:val="004145C1"/>
    <w:rsid w:val="004162EE"/>
    <w:rsid w:val="004173BF"/>
    <w:rsid w:val="00421952"/>
    <w:rsid w:val="00424351"/>
    <w:rsid w:val="00424BFE"/>
    <w:rsid w:val="00425905"/>
    <w:rsid w:val="004271C3"/>
    <w:rsid w:val="004278A1"/>
    <w:rsid w:val="004316F1"/>
    <w:rsid w:val="00431865"/>
    <w:rsid w:val="00431C9D"/>
    <w:rsid w:val="00431D32"/>
    <w:rsid w:val="00432805"/>
    <w:rsid w:val="00432A89"/>
    <w:rsid w:val="00432AB8"/>
    <w:rsid w:val="00433CB2"/>
    <w:rsid w:val="00434BA9"/>
    <w:rsid w:val="00435463"/>
    <w:rsid w:val="004357F4"/>
    <w:rsid w:val="00435FC2"/>
    <w:rsid w:val="00437F6E"/>
    <w:rsid w:val="004411F5"/>
    <w:rsid w:val="00442DEC"/>
    <w:rsid w:val="004439EC"/>
    <w:rsid w:val="00443F2F"/>
    <w:rsid w:val="00443F55"/>
    <w:rsid w:val="00445C1A"/>
    <w:rsid w:val="004500FD"/>
    <w:rsid w:val="004504E5"/>
    <w:rsid w:val="00452306"/>
    <w:rsid w:val="00454063"/>
    <w:rsid w:val="00454A41"/>
    <w:rsid w:val="00455044"/>
    <w:rsid w:val="00462B58"/>
    <w:rsid w:val="004636D8"/>
    <w:rsid w:val="00464028"/>
    <w:rsid w:val="004645FB"/>
    <w:rsid w:val="00464949"/>
    <w:rsid w:val="004720A2"/>
    <w:rsid w:val="00474341"/>
    <w:rsid w:val="004822A7"/>
    <w:rsid w:val="00482A27"/>
    <w:rsid w:val="0048328A"/>
    <w:rsid w:val="0048677E"/>
    <w:rsid w:val="00487952"/>
    <w:rsid w:val="00487A2B"/>
    <w:rsid w:val="004903D7"/>
    <w:rsid w:val="00490402"/>
    <w:rsid w:val="004917D4"/>
    <w:rsid w:val="00491D66"/>
    <w:rsid w:val="00492434"/>
    <w:rsid w:val="00492D12"/>
    <w:rsid w:val="00494C93"/>
    <w:rsid w:val="00495D25"/>
    <w:rsid w:val="00495EB8"/>
    <w:rsid w:val="004967C6"/>
    <w:rsid w:val="00497734"/>
    <w:rsid w:val="00497BC9"/>
    <w:rsid w:val="00497DBA"/>
    <w:rsid w:val="004A0A69"/>
    <w:rsid w:val="004A1B49"/>
    <w:rsid w:val="004A278D"/>
    <w:rsid w:val="004A3E0A"/>
    <w:rsid w:val="004A51FD"/>
    <w:rsid w:val="004A540A"/>
    <w:rsid w:val="004A5620"/>
    <w:rsid w:val="004A58E7"/>
    <w:rsid w:val="004A5A56"/>
    <w:rsid w:val="004A65B2"/>
    <w:rsid w:val="004A6656"/>
    <w:rsid w:val="004A7F5F"/>
    <w:rsid w:val="004B01FA"/>
    <w:rsid w:val="004B17B0"/>
    <w:rsid w:val="004B1A29"/>
    <w:rsid w:val="004B2020"/>
    <w:rsid w:val="004B2137"/>
    <w:rsid w:val="004B4AF0"/>
    <w:rsid w:val="004C08CA"/>
    <w:rsid w:val="004C09CB"/>
    <w:rsid w:val="004C0FAA"/>
    <w:rsid w:val="004C1075"/>
    <w:rsid w:val="004C1636"/>
    <w:rsid w:val="004C1660"/>
    <w:rsid w:val="004C18D1"/>
    <w:rsid w:val="004C2631"/>
    <w:rsid w:val="004C2EE4"/>
    <w:rsid w:val="004C3EE2"/>
    <w:rsid w:val="004C53DC"/>
    <w:rsid w:val="004C5C60"/>
    <w:rsid w:val="004C5F56"/>
    <w:rsid w:val="004C5FC5"/>
    <w:rsid w:val="004C628F"/>
    <w:rsid w:val="004C65FA"/>
    <w:rsid w:val="004C699F"/>
    <w:rsid w:val="004C788F"/>
    <w:rsid w:val="004C7A5F"/>
    <w:rsid w:val="004D00B3"/>
    <w:rsid w:val="004D16C1"/>
    <w:rsid w:val="004D16FE"/>
    <w:rsid w:val="004D2899"/>
    <w:rsid w:val="004D3C00"/>
    <w:rsid w:val="004D416E"/>
    <w:rsid w:val="004D4621"/>
    <w:rsid w:val="004D494F"/>
    <w:rsid w:val="004D5E78"/>
    <w:rsid w:val="004D5EFA"/>
    <w:rsid w:val="004D6D6E"/>
    <w:rsid w:val="004E09D6"/>
    <w:rsid w:val="004E2E00"/>
    <w:rsid w:val="004E2EEC"/>
    <w:rsid w:val="004E3CCB"/>
    <w:rsid w:val="004E47A8"/>
    <w:rsid w:val="004E5317"/>
    <w:rsid w:val="004E549E"/>
    <w:rsid w:val="004E5C52"/>
    <w:rsid w:val="004E5CFF"/>
    <w:rsid w:val="004E61DF"/>
    <w:rsid w:val="004E645B"/>
    <w:rsid w:val="004E697B"/>
    <w:rsid w:val="004E6A08"/>
    <w:rsid w:val="004F51E6"/>
    <w:rsid w:val="004F5ABB"/>
    <w:rsid w:val="004F7D1B"/>
    <w:rsid w:val="00501D1A"/>
    <w:rsid w:val="00502308"/>
    <w:rsid w:val="0050337C"/>
    <w:rsid w:val="00503C80"/>
    <w:rsid w:val="00503EF9"/>
    <w:rsid w:val="00504388"/>
    <w:rsid w:val="0050537D"/>
    <w:rsid w:val="0050591C"/>
    <w:rsid w:val="00510A0F"/>
    <w:rsid w:val="00510B0E"/>
    <w:rsid w:val="00510CF6"/>
    <w:rsid w:val="00513EB5"/>
    <w:rsid w:val="0051415A"/>
    <w:rsid w:val="00514365"/>
    <w:rsid w:val="00514D69"/>
    <w:rsid w:val="005164FF"/>
    <w:rsid w:val="005221E3"/>
    <w:rsid w:val="005250F6"/>
    <w:rsid w:val="00525B44"/>
    <w:rsid w:val="005260B6"/>
    <w:rsid w:val="005315B2"/>
    <w:rsid w:val="005334FD"/>
    <w:rsid w:val="005357E7"/>
    <w:rsid w:val="0053589A"/>
    <w:rsid w:val="00535CCF"/>
    <w:rsid w:val="00540B60"/>
    <w:rsid w:val="00540E2E"/>
    <w:rsid w:val="005426BB"/>
    <w:rsid w:val="00542B05"/>
    <w:rsid w:val="00542B80"/>
    <w:rsid w:val="00542F5B"/>
    <w:rsid w:val="005473B1"/>
    <w:rsid w:val="005473ED"/>
    <w:rsid w:val="00547420"/>
    <w:rsid w:val="005477A5"/>
    <w:rsid w:val="00547C28"/>
    <w:rsid w:val="00551057"/>
    <w:rsid w:val="0055154C"/>
    <w:rsid w:val="0055216D"/>
    <w:rsid w:val="005540C8"/>
    <w:rsid w:val="005542E2"/>
    <w:rsid w:val="00555CB8"/>
    <w:rsid w:val="00555EFC"/>
    <w:rsid w:val="0055622C"/>
    <w:rsid w:val="005577C0"/>
    <w:rsid w:val="0056092A"/>
    <w:rsid w:val="00561416"/>
    <w:rsid w:val="00562D8E"/>
    <w:rsid w:val="005645E3"/>
    <w:rsid w:val="00565AAD"/>
    <w:rsid w:val="005662EB"/>
    <w:rsid w:val="00571D26"/>
    <w:rsid w:val="00571E91"/>
    <w:rsid w:val="00571F16"/>
    <w:rsid w:val="005721A0"/>
    <w:rsid w:val="00572BCA"/>
    <w:rsid w:val="00575F93"/>
    <w:rsid w:val="00581B78"/>
    <w:rsid w:val="00583AD6"/>
    <w:rsid w:val="00584A9D"/>
    <w:rsid w:val="005851B9"/>
    <w:rsid w:val="00585DDE"/>
    <w:rsid w:val="00591C31"/>
    <w:rsid w:val="00591F11"/>
    <w:rsid w:val="00592354"/>
    <w:rsid w:val="00594938"/>
    <w:rsid w:val="00594D0D"/>
    <w:rsid w:val="0059504B"/>
    <w:rsid w:val="0059526F"/>
    <w:rsid w:val="005964FE"/>
    <w:rsid w:val="00596B48"/>
    <w:rsid w:val="0059704F"/>
    <w:rsid w:val="00597C2F"/>
    <w:rsid w:val="005A4127"/>
    <w:rsid w:val="005A63EC"/>
    <w:rsid w:val="005A78E0"/>
    <w:rsid w:val="005B1196"/>
    <w:rsid w:val="005B28B8"/>
    <w:rsid w:val="005B633D"/>
    <w:rsid w:val="005C04C1"/>
    <w:rsid w:val="005C0960"/>
    <w:rsid w:val="005C0A3D"/>
    <w:rsid w:val="005C16BE"/>
    <w:rsid w:val="005C2B3A"/>
    <w:rsid w:val="005C35B7"/>
    <w:rsid w:val="005C3AFF"/>
    <w:rsid w:val="005C3C3A"/>
    <w:rsid w:val="005C4024"/>
    <w:rsid w:val="005C43CF"/>
    <w:rsid w:val="005C4474"/>
    <w:rsid w:val="005C44F4"/>
    <w:rsid w:val="005C46CC"/>
    <w:rsid w:val="005C5559"/>
    <w:rsid w:val="005C5C51"/>
    <w:rsid w:val="005C7ADE"/>
    <w:rsid w:val="005D1702"/>
    <w:rsid w:val="005D1B32"/>
    <w:rsid w:val="005D1F43"/>
    <w:rsid w:val="005D275E"/>
    <w:rsid w:val="005D787A"/>
    <w:rsid w:val="005D7A60"/>
    <w:rsid w:val="005D7AED"/>
    <w:rsid w:val="005D7BCF"/>
    <w:rsid w:val="005E0D74"/>
    <w:rsid w:val="005E2138"/>
    <w:rsid w:val="005E24F6"/>
    <w:rsid w:val="005E42C0"/>
    <w:rsid w:val="005E46AB"/>
    <w:rsid w:val="005E4ECC"/>
    <w:rsid w:val="005E5FA6"/>
    <w:rsid w:val="005F0B28"/>
    <w:rsid w:val="005F251F"/>
    <w:rsid w:val="005F3398"/>
    <w:rsid w:val="005F34D1"/>
    <w:rsid w:val="005F5531"/>
    <w:rsid w:val="005F5862"/>
    <w:rsid w:val="005F7C3F"/>
    <w:rsid w:val="0060068F"/>
    <w:rsid w:val="00601FD3"/>
    <w:rsid w:val="006040BB"/>
    <w:rsid w:val="00604394"/>
    <w:rsid w:val="00606AF4"/>
    <w:rsid w:val="006071A7"/>
    <w:rsid w:val="0060783A"/>
    <w:rsid w:val="00607D04"/>
    <w:rsid w:val="00610202"/>
    <w:rsid w:val="00610C96"/>
    <w:rsid w:val="006110CF"/>
    <w:rsid w:val="006115D6"/>
    <w:rsid w:val="0061195D"/>
    <w:rsid w:val="00611E19"/>
    <w:rsid w:val="006137BD"/>
    <w:rsid w:val="00613C41"/>
    <w:rsid w:val="0061713A"/>
    <w:rsid w:val="00617F82"/>
    <w:rsid w:val="006210FE"/>
    <w:rsid w:val="00621302"/>
    <w:rsid w:val="00622ED3"/>
    <w:rsid w:val="00623E6A"/>
    <w:rsid w:val="0062656B"/>
    <w:rsid w:val="00626A8B"/>
    <w:rsid w:val="0062745D"/>
    <w:rsid w:val="00634DCB"/>
    <w:rsid w:val="006356C6"/>
    <w:rsid w:val="00636804"/>
    <w:rsid w:val="006376BA"/>
    <w:rsid w:val="00637BFE"/>
    <w:rsid w:val="00640C2C"/>
    <w:rsid w:val="00641090"/>
    <w:rsid w:val="00641B07"/>
    <w:rsid w:val="006437EE"/>
    <w:rsid w:val="00643F69"/>
    <w:rsid w:val="00644EF1"/>
    <w:rsid w:val="00647037"/>
    <w:rsid w:val="0065031F"/>
    <w:rsid w:val="00650471"/>
    <w:rsid w:val="00651131"/>
    <w:rsid w:val="0065283C"/>
    <w:rsid w:val="00652E50"/>
    <w:rsid w:val="0065340D"/>
    <w:rsid w:val="00653CCB"/>
    <w:rsid w:val="00655468"/>
    <w:rsid w:val="0066088B"/>
    <w:rsid w:val="00660BF1"/>
    <w:rsid w:val="006613C3"/>
    <w:rsid w:val="006615E2"/>
    <w:rsid w:val="00661D76"/>
    <w:rsid w:val="00663A53"/>
    <w:rsid w:val="006649E0"/>
    <w:rsid w:val="00665300"/>
    <w:rsid w:val="00667CB7"/>
    <w:rsid w:val="00667E6B"/>
    <w:rsid w:val="00670C7D"/>
    <w:rsid w:val="00671E8B"/>
    <w:rsid w:val="00672D9F"/>
    <w:rsid w:val="00675111"/>
    <w:rsid w:val="00676A9B"/>
    <w:rsid w:val="00681287"/>
    <w:rsid w:val="00681819"/>
    <w:rsid w:val="00685B3F"/>
    <w:rsid w:val="00685DE1"/>
    <w:rsid w:val="006867B3"/>
    <w:rsid w:val="00690332"/>
    <w:rsid w:val="00692498"/>
    <w:rsid w:val="006930A0"/>
    <w:rsid w:val="006945F5"/>
    <w:rsid w:val="00695816"/>
    <w:rsid w:val="006A0120"/>
    <w:rsid w:val="006A0A05"/>
    <w:rsid w:val="006A0FBF"/>
    <w:rsid w:val="006A2878"/>
    <w:rsid w:val="006A44EC"/>
    <w:rsid w:val="006A4F12"/>
    <w:rsid w:val="006A6B8B"/>
    <w:rsid w:val="006B0298"/>
    <w:rsid w:val="006B1F84"/>
    <w:rsid w:val="006B38E8"/>
    <w:rsid w:val="006B51E2"/>
    <w:rsid w:val="006B7537"/>
    <w:rsid w:val="006B7D3B"/>
    <w:rsid w:val="006C07EE"/>
    <w:rsid w:val="006C0A46"/>
    <w:rsid w:val="006C1606"/>
    <w:rsid w:val="006C2D3F"/>
    <w:rsid w:val="006C32A8"/>
    <w:rsid w:val="006C3F1C"/>
    <w:rsid w:val="006C5948"/>
    <w:rsid w:val="006C5B6C"/>
    <w:rsid w:val="006C782D"/>
    <w:rsid w:val="006D0827"/>
    <w:rsid w:val="006D08E4"/>
    <w:rsid w:val="006D1BFF"/>
    <w:rsid w:val="006D1D10"/>
    <w:rsid w:val="006D34D0"/>
    <w:rsid w:val="006D50C0"/>
    <w:rsid w:val="006D525D"/>
    <w:rsid w:val="006D5848"/>
    <w:rsid w:val="006D6AEE"/>
    <w:rsid w:val="006D7989"/>
    <w:rsid w:val="006E13F3"/>
    <w:rsid w:val="006E5AAD"/>
    <w:rsid w:val="006F0467"/>
    <w:rsid w:val="006F3D21"/>
    <w:rsid w:val="006F3DC9"/>
    <w:rsid w:val="006F5877"/>
    <w:rsid w:val="006F5918"/>
    <w:rsid w:val="006F6E98"/>
    <w:rsid w:val="006F75EC"/>
    <w:rsid w:val="00701727"/>
    <w:rsid w:val="00702665"/>
    <w:rsid w:val="00702D4A"/>
    <w:rsid w:val="00703CB1"/>
    <w:rsid w:val="0070442A"/>
    <w:rsid w:val="00706308"/>
    <w:rsid w:val="007065CE"/>
    <w:rsid w:val="0070685B"/>
    <w:rsid w:val="00707808"/>
    <w:rsid w:val="00712682"/>
    <w:rsid w:val="00712AA5"/>
    <w:rsid w:val="007130AD"/>
    <w:rsid w:val="007144E2"/>
    <w:rsid w:val="00714BC5"/>
    <w:rsid w:val="00716465"/>
    <w:rsid w:val="00716C77"/>
    <w:rsid w:val="007227BF"/>
    <w:rsid w:val="00723536"/>
    <w:rsid w:val="00724389"/>
    <w:rsid w:val="007247E6"/>
    <w:rsid w:val="00724B24"/>
    <w:rsid w:val="00725419"/>
    <w:rsid w:val="0072758E"/>
    <w:rsid w:val="007278BC"/>
    <w:rsid w:val="00730D55"/>
    <w:rsid w:val="0073246F"/>
    <w:rsid w:val="00732F62"/>
    <w:rsid w:val="00733DF2"/>
    <w:rsid w:val="00734441"/>
    <w:rsid w:val="00734A19"/>
    <w:rsid w:val="00735B86"/>
    <w:rsid w:val="0073609A"/>
    <w:rsid w:val="0073641B"/>
    <w:rsid w:val="0073681F"/>
    <w:rsid w:val="00737028"/>
    <w:rsid w:val="00737C09"/>
    <w:rsid w:val="00740856"/>
    <w:rsid w:val="00742664"/>
    <w:rsid w:val="00744D02"/>
    <w:rsid w:val="007454D3"/>
    <w:rsid w:val="007457A4"/>
    <w:rsid w:val="007479FD"/>
    <w:rsid w:val="00750E94"/>
    <w:rsid w:val="00751E73"/>
    <w:rsid w:val="00752683"/>
    <w:rsid w:val="00753030"/>
    <w:rsid w:val="00753B4C"/>
    <w:rsid w:val="00754E15"/>
    <w:rsid w:val="007550E2"/>
    <w:rsid w:val="00756261"/>
    <w:rsid w:val="00756285"/>
    <w:rsid w:val="00756D79"/>
    <w:rsid w:val="00757E4B"/>
    <w:rsid w:val="00757E62"/>
    <w:rsid w:val="007615EB"/>
    <w:rsid w:val="00761872"/>
    <w:rsid w:val="00761963"/>
    <w:rsid w:val="00762475"/>
    <w:rsid w:val="00762FF3"/>
    <w:rsid w:val="0076767D"/>
    <w:rsid w:val="007676B0"/>
    <w:rsid w:val="00770155"/>
    <w:rsid w:val="0077021B"/>
    <w:rsid w:val="0077137A"/>
    <w:rsid w:val="0077166E"/>
    <w:rsid w:val="00772275"/>
    <w:rsid w:val="007725DA"/>
    <w:rsid w:val="0077318F"/>
    <w:rsid w:val="0077361E"/>
    <w:rsid w:val="00774338"/>
    <w:rsid w:val="00775B89"/>
    <w:rsid w:val="00775C9A"/>
    <w:rsid w:val="00776917"/>
    <w:rsid w:val="00776ECC"/>
    <w:rsid w:val="0077747C"/>
    <w:rsid w:val="00780A49"/>
    <w:rsid w:val="00780F58"/>
    <w:rsid w:val="007825A9"/>
    <w:rsid w:val="00782F84"/>
    <w:rsid w:val="0078321F"/>
    <w:rsid w:val="00783396"/>
    <w:rsid w:val="00783C08"/>
    <w:rsid w:val="00783D73"/>
    <w:rsid w:val="00783E7B"/>
    <w:rsid w:val="00784918"/>
    <w:rsid w:val="007849E4"/>
    <w:rsid w:val="007866E6"/>
    <w:rsid w:val="0079246B"/>
    <w:rsid w:val="007940FF"/>
    <w:rsid w:val="007948D7"/>
    <w:rsid w:val="00795F79"/>
    <w:rsid w:val="007A16E4"/>
    <w:rsid w:val="007A44CC"/>
    <w:rsid w:val="007A44D1"/>
    <w:rsid w:val="007A545E"/>
    <w:rsid w:val="007A588F"/>
    <w:rsid w:val="007A6370"/>
    <w:rsid w:val="007B065B"/>
    <w:rsid w:val="007B14C6"/>
    <w:rsid w:val="007B1C97"/>
    <w:rsid w:val="007B37FF"/>
    <w:rsid w:val="007B3FCE"/>
    <w:rsid w:val="007B4583"/>
    <w:rsid w:val="007B46DA"/>
    <w:rsid w:val="007B70A9"/>
    <w:rsid w:val="007C000F"/>
    <w:rsid w:val="007C05FA"/>
    <w:rsid w:val="007C06DD"/>
    <w:rsid w:val="007C10D1"/>
    <w:rsid w:val="007C1856"/>
    <w:rsid w:val="007C2292"/>
    <w:rsid w:val="007C2672"/>
    <w:rsid w:val="007C4F26"/>
    <w:rsid w:val="007C50E7"/>
    <w:rsid w:val="007C5A88"/>
    <w:rsid w:val="007C6511"/>
    <w:rsid w:val="007D078E"/>
    <w:rsid w:val="007D1B30"/>
    <w:rsid w:val="007D24B3"/>
    <w:rsid w:val="007D36D5"/>
    <w:rsid w:val="007D69C3"/>
    <w:rsid w:val="007D76CA"/>
    <w:rsid w:val="007D7761"/>
    <w:rsid w:val="007D7C48"/>
    <w:rsid w:val="007D7FC7"/>
    <w:rsid w:val="007E0CC9"/>
    <w:rsid w:val="007E1F8A"/>
    <w:rsid w:val="007E2620"/>
    <w:rsid w:val="007E32BA"/>
    <w:rsid w:val="007E3446"/>
    <w:rsid w:val="007E3728"/>
    <w:rsid w:val="007E46ED"/>
    <w:rsid w:val="007E49A7"/>
    <w:rsid w:val="007E538A"/>
    <w:rsid w:val="007E553E"/>
    <w:rsid w:val="007E5DCB"/>
    <w:rsid w:val="007E6F5D"/>
    <w:rsid w:val="007E7A41"/>
    <w:rsid w:val="007E7F00"/>
    <w:rsid w:val="007F0FB6"/>
    <w:rsid w:val="007F1207"/>
    <w:rsid w:val="007F244B"/>
    <w:rsid w:val="007F250F"/>
    <w:rsid w:val="007F4A7B"/>
    <w:rsid w:val="007F4DD9"/>
    <w:rsid w:val="007F526B"/>
    <w:rsid w:val="007F5D5A"/>
    <w:rsid w:val="007F63FC"/>
    <w:rsid w:val="00800F1B"/>
    <w:rsid w:val="00801922"/>
    <w:rsid w:val="00805CC1"/>
    <w:rsid w:val="00806362"/>
    <w:rsid w:val="008073C3"/>
    <w:rsid w:val="008108C3"/>
    <w:rsid w:val="00813358"/>
    <w:rsid w:val="00813796"/>
    <w:rsid w:val="00814119"/>
    <w:rsid w:val="00815058"/>
    <w:rsid w:val="008208FF"/>
    <w:rsid w:val="00820A5C"/>
    <w:rsid w:val="00821CC6"/>
    <w:rsid w:val="00822F6E"/>
    <w:rsid w:val="00823758"/>
    <w:rsid w:val="00823D8B"/>
    <w:rsid w:val="00824684"/>
    <w:rsid w:val="00826F85"/>
    <w:rsid w:val="00827445"/>
    <w:rsid w:val="008332F3"/>
    <w:rsid w:val="00833672"/>
    <w:rsid w:val="00834154"/>
    <w:rsid w:val="00834665"/>
    <w:rsid w:val="00835B16"/>
    <w:rsid w:val="00835DD5"/>
    <w:rsid w:val="00836135"/>
    <w:rsid w:val="008368DA"/>
    <w:rsid w:val="008371E1"/>
    <w:rsid w:val="00840318"/>
    <w:rsid w:val="00842408"/>
    <w:rsid w:val="00843419"/>
    <w:rsid w:val="00843662"/>
    <w:rsid w:val="00843A31"/>
    <w:rsid w:val="0084449B"/>
    <w:rsid w:val="00846ED9"/>
    <w:rsid w:val="008479A9"/>
    <w:rsid w:val="008479EB"/>
    <w:rsid w:val="00850562"/>
    <w:rsid w:val="008505F6"/>
    <w:rsid w:val="0085085D"/>
    <w:rsid w:val="00850DD6"/>
    <w:rsid w:val="00851DFA"/>
    <w:rsid w:val="00853F80"/>
    <w:rsid w:val="008553BF"/>
    <w:rsid w:val="00860AB8"/>
    <w:rsid w:val="00860C59"/>
    <w:rsid w:val="00860E51"/>
    <w:rsid w:val="00863C43"/>
    <w:rsid w:val="008641FC"/>
    <w:rsid w:val="00864736"/>
    <w:rsid w:val="0086566B"/>
    <w:rsid w:val="00865B78"/>
    <w:rsid w:val="00866C01"/>
    <w:rsid w:val="00867C4A"/>
    <w:rsid w:val="00870F1E"/>
    <w:rsid w:val="008713EB"/>
    <w:rsid w:val="00873723"/>
    <w:rsid w:val="00875141"/>
    <w:rsid w:val="0087516F"/>
    <w:rsid w:val="00876383"/>
    <w:rsid w:val="0087657C"/>
    <w:rsid w:val="0087660A"/>
    <w:rsid w:val="00876CD2"/>
    <w:rsid w:val="0087716C"/>
    <w:rsid w:val="0088060B"/>
    <w:rsid w:val="0088097C"/>
    <w:rsid w:val="00881091"/>
    <w:rsid w:val="00882E30"/>
    <w:rsid w:val="008837CD"/>
    <w:rsid w:val="00883943"/>
    <w:rsid w:val="00883D7F"/>
    <w:rsid w:val="00884182"/>
    <w:rsid w:val="00884C7F"/>
    <w:rsid w:val="00885BBD"/>
    <w:rsid w:val="00886837"/>
    <w:rsid w:val="008878EF"/>
    <w:rsid w:val="00890310"/>
    <w:rsid w:val="00890EBF"/>
    <w:rsid w:val="0089125D"/>
    <w:rsid w:val="00891B18"/>
    <w:rsid w:val="008920CF"/>
    <w:rsid w:val="00892E4B"/>
    <w:rsid w:val="00893E20"/>
    <w:rsid w:val="008956CC"/>
    <w:rsid w:val="00896881"/>
    <w:rsid w:val="00896D29"/>
    <w:rsid w:val="00897F8A"/>
    <w:rsid w:val="008A098A"/>
    <w:rsid w:val="008A131E"/>
    <w:rsid w:val="008A1468"/>
    <w:rsid w:val="008A2E88"/>
    <w:rsid w:val="008A3073"/>
    <w:rsid w:val="008A35AD"/>
    <w:rsid w:val="008A4B8C"/>
    <w:rsid w:val="008A4E94"/>
    <w:rsid w:val="008A534C"/>
    <w:rsid w:val="008A65DC"/>
    <w:rsid w:val="008A66FB"/>
    <w:rsid w:val="008A6EC5"/>
    <w:rsid w:val="008A773C"/>
    <w:rsid w:val="008A7D00"/>
    <w:rsid w:val="008B163D"/>
    <w:rsid w:val="008B252C"/>
    <w:rsid w:val="008B27DA"/>
    <w:rsid w:val="008B3904"/>
    <w:rsid w:val="008B3E79"/>
    <w:rsid w:val="008B3EE4"/>
    <w:rsid w:val="008B4184"/>
    <w:rsid w:val="008B6500"/>
    <w:rsid w:val="008B6DDA"/>
    <w:rsid w:val="008B724A"/>
    <w:rsid w:val="008B7B61"/>
    <w:rsid w:val="008C0088"/>
    <w:rsid w:val="008C1161"/>
    <w:rsid w:val="008C241D"/>
    <w:rsid w:val="008C2631"/>
    <w:rsid w:val="008C355B"/>
    <w:rsid w:val="008C3B15"/>
    <w:rsid w:val="008C451C"/>
    <w:rsid w:val="008C5759"/>
    <w:rsid w:val="008C585F"/>
    <w:rsid w:val="008C6F71"/>
    <w:rsid w:val="008C7731"/>
    <w:rsid w:val="008C7D74"/>
    <w:rsid w:val="008D1551"/>
    <w:rsid w:val="008D1DFA"/>
    <w:rsid w:val="008D1E5E"/>
    <w:rsid w:val="008D3427"/>
    <w:rsid w:val="008D5432"/>
    <w:rsid w:val="008D690C"/>
    <w:rsid w:val="008D73A1"/>
    <w:rsid w:val="008E036C"/>
    <w:rsid w:val="008E2016"/>
    <w:rsid w:val="008E3F0B"/>
    <w:rsid w:val="008E4A1B"/>
    <w:rsid w:val="008E4FE1"/>
    <w:rsid w:val="008E5335"/>
    <w:rsid w:val="008E577E"/>
    <w:rsid w:val="008E590F"/>
    <w:rsid w:val="008E7241"/>
    <w:rsid w:val="008F1D2B"/>
    <w:rsid w:val="008F2C69"/>
    <w:rsid w:val="008F300F"/>
    <w:rsid w:val="008F4CC2"/>
    <w:rsid w:val="008F69A6"/>
    <w:rsid w:val="009004CD"/>
    <w:rsid w:val="00902D5E"/>
    <w:rsid w:val="00905E49"/>
    <w:rsid w:val="009103A1"/>
    <w:rsid w:val="00911C81"/>
    <w:rsid w:val="00912378"/>
    <w:rsid w:val="0091355F"/>
    <w:rsid w:val="00914C72"/>
    <w:rsid w:val="00916FA4"/>
    <w:rsid w:val="00920262"/>
    <w:rsid w:val="0092070A"/>
    <w:rsid w:val="00921270"/>
    <w:rsid w:val="0092154E"/>
    <w:rsid w:val="00921D89"/>
    <w:rsid w:val="00922069"/>
    <w:rsid w:val="00922259"/>
    <w:rsid w:val="00922E44"/>
    <w:rsid w:val="009235FC"/>
    <w:rsid w:val="00924795"/>
    <w:rsid w:val="009248E2"/>
    <w:rsid w:val="00927A0A"/>
    <w:rsid w:val="009309D3"/>
    <w:rsid w:val="0093140B"/>
    <w:rsid w:val="00931D11"/>
    <w:rsid w:val="009328A7"/>
    <w:rsid w:val="00933F12"/>
    <w:rsid w:val="00935A3B"/>
    <w:rsid w:val="00940467"/>
    <w:rsid w:val="00940495"/>
    <w:rsid w:val="0094103E"/>
    <w:rsid w:val="00941074"/>
    <w:rsid w:val="009414DF"/>
    <w:rsid w:val="00941C4B"/>
    <w:rsid w:val="00942099"/>
    <w:rsid w:val="00944486"/>
    <w:rsid w:val="00945027"/>
    <w:rsid w:val="009450B9"/>
    <w:rsid w:val="00950D85"/>
    <w:rsid w:val="00950FD2"/>
    <w:rsid w:val="00953585"/>
    <w:rsid w:val="00953BE9"/>
    <w:rsid w:val="0095584A"/>
    <w:rsid w:val="009577C8"/>
    <w:rsid w:val="009627A2"/>
    <w:rsid w:val="00962A2E"/>
    <w:rsid w:val="00962CC5"/>
    <w:rsid w:val="00964CC6"/>
    <w:rsid w:val="00965804"/>
    <w:rsid w:val="0096619C"/>
    <w:rsid w:val="009667F6"/>
    <w:rsid w:val="00967746"/>
    <w:rsid w:val="009677F5"/>
    <w:rsid w:val="00971611"/>
    <w:rsid w:val="00972584"/>
    <w:rsid w:val="00972A4C"/>
    <w:rsid w:val="009734F2"/>
    <w:rsid w:val="009741BA"/>
    <w:rsid w:val="00975240"/>
    <w:rsid w:val="009758C8"/>
    <w:rsid w:val="00975D25"/>
    <w:rsid w:val="0097669C"/>
    <w:rsid w:val="00976AD6"/>
    <w:rsid w:val="00977C7E"/>
    <w:rsid w:val="00980150"/>
    <w:rsid w:val="00982ADB"/>
    <w:rsid w:val="00982C1A"/>
    <w:rsid w:val="009840D8"/>
    <w:rsid w:val="00985137"/>
    <w:rsid w:val="00986D61"/>
    <w:rsid w:val="00987D05"/>
    <w:rsid w:val="00987FB4"/>
    <w:rsid w:val="00991558"/>
    <w:rsid w:val="00991C13"/>
    <w:rsid w:val="00992735"/>
    <w:rsid w:val="009939C0"/>
    <w:rsid w:val="0099500E"/>
    <w:rsid w:val="0099520D"/>
    <w:rsid w:val="0099542A"/>
    <w:rsid w:val="00996442"/>
    <w:rsid w:val="00997475"/>
    <w:rsid w:val="0099760F"/>
    <w:rsid w:val="00997A71"/>
    <w:rsid w:val="009A0172"/>
    <w:rsid w:val="009A1D84"/>
    <w:rsid w:val="009A2D9B"/>
    <w:rsid w:val="009A3ED4"/>
    <w:rsid w:val="009A4698"/>
    <w:rsid w:val="009A6E4A"/>
    <w:rsid w:val="009B1193"/>
    <w:rsid w:val="009B41D2"/>
    <w:rsid w:val="009B4FCF"/>
    <w:rsid w:val="009B666C"/>
    <w:rsid w:val="009B690B"/>
    <w:rsid w:val="009B72D0"/>
    <w:rsid w:val="009C2748"/>
    <w:rsid w:val="009C31E3"/>
    <w:rsid w:val="009C4A16"/>
    <w:rsid w:val="009C64A9"/>
    <w:rsid w:val="009D021A"/>
    <w:rsid w:val="009D1010"/>
    <w:rsid w:val="009D157A"/>
    <w:rsid w:val="009D2CCA"/>
    <w:rsid w:val="009D3698"/>
    <w:rsid w:val="009D4FC0"/>
    <w:rsid w:val="009D67C1"/>
    <w:rsid w:val="009E152F"/>
    <w:rsid w:val="009E19DC"/>
    <w:rsid w:val="009E219C"/>
    <w:rsid w:val="009E2709"/>
    <w:rsid w:val="009E34B6"/>
    <w:rsid w:val="009E4D74"/>
    <w:rsid w:val="009E640D"/>
    <w:rsid w:val="009E6475"/>
    <w:rsid w:val="009E6648"/>
    <w:rsid w:val="009E6BEF"/>
    <w:rsid w:val="009E6EDB"/>
    <w:rsid w:val="009F07D0"/>
    <w:rsid w:val="009F1D0F"/>
    <w:rsid w:val="009F4449"/>
    <w:rsid w:val="009F4A6E"/>
    <w:rsid w:val="009F4D8B"/>
    <w:rsid w:val="009F69B2"/>
    <w:rsid w:val="009F6E3A"/>
    <w:rsid w:val="009F6EA5"/>
    <w:rsid w:val="009F76D7"/>
    <w:rsid w:val="009F7A7A"/>
    <w:rsid w:val="00A002A9"/>
    <w:rsid w:val="00A005FE"/>
    <w:rsid w:val="00A00E64"/>
    <w:rsid w:val="00A029DC"/>
    <w:rsid w:val="00A05275"/>
    <w:rsid w:val="00A10AC7"/>
    <w:rsid w:val="00A11314"/>
    <w:rsid w:val="00A11BF8"/>
    <w:rsid w:val="00A1296F"/>
    <w:rsid w:val="00A129B2"/>
    <w:rsid w:val="00A1351A"/>
    <w:rsid w:val="00A13A90"/>
    <w:rsid w:val="00A142AC"/>
    <w:rsid w:val="00A17CE9"/>
    <w:rsid w:val="00A20863"/>
    <w:rsid w:val="00A2209C"/>
    <w:rsid w:val="00A22D2C"/>
    <w:rsid w:val="00A24162"/>
    <w:rsid w:val="00A2437D"/>
    <w:rsid w:val="00A24FCA"/>
    <w:rsid w:val="00A26F7A"/>
    <w:rsid w:val="00A321A4"/>
    <w:rsid w:val="00A32AB3"/>
    <w:rsid w:val="00A32CE8"/>
    <w:rsid w:val="00A3311B"/>
    <w:rsid w:val="00A34807"/>
    <w:rsid w:val="00A34883"/>
    <w:rsid w:val="00A3580E"/>
    <w:rsid w:val="00A35B85"/>
    <w:rsid w:val="00A36807"/>
    <w:rsid w:val="00A428A2"/>
    <w:rsid w:val="00A42EED"/>
    <w:rsid w:val="00A451FA"/>
    <w:rsid w:val="00A475EC"/>
    <w:rsid w:val="00A505FD"/>
    <w:rsid w:val="00A52329"/>
    <w:rsid w:val="00A53990"/>
    <w:rsid w:val="00A53FEB"/>
    <w:rsid w:val="00A5419A"/>
    <w:rsid w:val="00A549E7"/>
    <w:rsid w:val="00A55163"/>
    <w:rsid w:val="00A55C08"/>
    <w:rsid w:val="00A55CF9"/>
    <w:rsid w:val="00A5633B"/>
    <w:rsid w:val="00A564C7"/>
    <w:rsid w:val="00A60267"/>
    <w:rsid w:val="00A60D87"/>
    <w:rsid w:val="00A61642"/>
    <w:rsid w:val="00A6188F"/>
    <w:rsid w:val="00A62906"/>
    <w:rsid w:val="00A632B2"/>
    <w:rsid w:val="00A652AF"/>
    <w:rsid w:val="00A65DC6"/>
    <w:rsid w:val="00A6752B"/>
    <w:rsid w:val="00A71A80"/>
    <w:rsid w:val="00A7268D"/>
    <w:rsid w:val="00A72A3F"/>
    <w:rsid w:val="00A73157"/>
    <w:rsid w:val="00A74EE0"/>
    <w:rsid w:val="00A7561D"/>
    <w:rsid w:val="00A76CAD"/>
    <w:rsid w:val="00A80480"/>
    <w:rsid w:val="00A80758"/>
    <w:rsid w:val="00A80E3D"/>
    <w:rsid w:val="00A82F29"/>
    <w:rsid w:val="00A839AC"/>
    <w:rsid w:val="00A83E4E"/>
    <w:rsid w:val="00A84E67"/>
    <w:rsid w:val="00A85E69"/>
    <w:rsid w:val="00A86B23"/>
    <w:rsid w:val="00A87661"/>
    <w:rsid w:val="00A90CF1"/>
    <w:rsid w:val="00A90FA7"/>
    <w:rsid w:val="00A91039"/>
    <w:rsid w:val="00A9328F"/>
    <w:rsid w:val="00A939BE"/>
    <w:rsid w:val="00A93D08"/>
    <w:rsid w:val="00A943A3"/>
    <w:rsid w:val="00A957C3"/>
    <w:rsid w:val="00A97150"/>
    <w:rsid w:val="00A9780B"/>
    <w:rsid w:val="00A9785E"/>
    <w:rsid w:val="00A979A2"/>
    <w:rsid w:val="00AA030C"/>
    <w:rsid w:val="00AA3E93"/>
    <w:rsid w:val="00AA4009"/>
    <w:rsid w:val="00AA6836"/>
    <w:rsid w:val="00AA6D52"/>
    <w:rsid w:val="00AB0FFA"/>
    <w:rsid w:val="00AB1126"/>
    <w:rsid w:val="00AB12DF"/>
    <w:rsid w:val="00AB338C"/>
    <w:rsid w:val="00AB34FB"/>
    <w:rsid w:val="00AB4303"/>
    <w:rsid w:val="00AB548F"/>
    <w:rsid w:val="00AC0DE6"/>
    <w:rsid w:val="00AC10E1"/>
    <w:rsid w:val="00AC160A"/>
    <w:rsid w:val="00AC17B6"/>
    <w:rsid w:val="00AC1BBB"/>
    <w:rsid w:val="00AC1C9B"/>
    <w:rsid w:val="00AC6AF7"/>
    <w:rsid w:val="00AC6D32"/>
    <w:rsid w:val="00AC786D"/>
    <w:rsid w:val="00AD0135"/>
    <w:rsid w:val="00AD1102"/>
    <w:rsid w:val="00AD2B3B"/>
    <w:rsid w:val="00AD359B"/>
    <w:rsid w:val="00AD44B6"/>
    <w:rsid w:val="00AD5155"/>
    <w:rsid w:val="00AD51BA"/>
    <w:rsid w:val="00AD52E8"/>
    <w:rsid w:val="00AD7AF8"/>
    <w:rsid w:val="00AD7C3A"/>
    <w:rsid w:val="00AD7FCE"/>
    <w:rsid w:val="00AE12C4"/>
    <w:rsid w:val="00AE1DC1"/>
    <w:rsid w:val="00AE2B1B"/>
    <w:rsid w:val="00AE2DBA"/>
    <w:rsid w:val="00AE6DBB"/>
    <w:rsid w:val="00AE7688"/>
    <w:rsid w:val="00AE7B01"/>
    <w:rsid w:val="00AF13CF"/>
    <w:rsid w:val="00AF3DD7"/>
    <w:rsid w:val="00AF5C27"/>
    <w:rsid w:val="00AF65F3"/>
    <w:rsid w:val="00AF6E59"/>
    <w:rsid w:val="00AF79B5"/>
    <w:rsid w:val="00B01451"/>
    <w:rsid w:val="00B02100"/>
    <w:rsid w:val="00B04CEB"/>
    <w:rsid w:val="00B075F7"/>
    <w:rsid w:val="00B11E2D"/>
    <w:rsid w:val="00B11FBA"/>
    <w:rsid w:val="00B12650"/>
    <w:rsid w:val="00B12651"/>
    <w:rsid w:val="00B13A6E"/>
    <w:rsid w:val="00B14BD7"/>
    <w:rsid w:val="00B15864"/>
    <w:rsid w:val="00B15E11"/>
    <w:rsid w:val="00B15E24"/>
    <w:rsid w:val="00B16D57"/>
    <w:rsid w:val="00B238E2"/>
    <w:rsid w:val="00B23BC5"/>
    <w:rsid w:val="00B26DF1"/>
    <w:rsid w:val="00B27487"/>
    <w:rsid w:val="00B300E6"/>
    <w:rsid w:val="00B3015E"/>
    <w:rsid w:val="00B3021B"/>
    <w:rsid w:val="00B30B46"/>
    <w:rsid w:val="00B30B97"/>
    <w:rsid w:val="00B30C1E"/>
    <w:rsid w:val="00B33C06"/>
    <w:rsid w:val="00B37AF0"/>
    <w:rsid w:val="00B40BF8"/>
    <w:rsid w:val="00B42812"/>
    <w:rsid w:val="00B42A9E"/>
    <w:rsid w:val="00B44092"/>
    <w:rsid w:val="00B441DB"/>
    <w:rsid w:val="00B446EF"/>
    <w:rsid w:val="00B469D1"/>
    <w:rsid w:val="00B46A2F"/>
    <w:rsid w:val="00B47121"/>
    <w:rsid w:val="00B47AA7"/>
    <w:rsid w:val="00B501D5"/>
    <w:rsid w:val="00B50BBA"/>
    <w:rsid w:val="00B518CA"/>
    <w:rsid w:val="00B51C61"/>
    <w:rsid w:val="00B51FB1"/>
    <w:rsid w:val="00B55D5F"/>
    <w:rsid w:val="00B56D4D"/>
    <w:rsid w:val="00B606DF"/>
    <w:rsid w:val="00B60917"/>
    <w:rsid w:val="00B60E7E"/>
    <w:rsid w:val="00B62F7F"/>
    <w:rsid w:val="00B637B5"/>
    <w:rsid w:val="00B63CE2"/>
    <w:rsid w:val="00B64DE2"/>
    <w:rsid w:val="00B664C6"/>
    <w:rsid w:val="00B674C2"/>
    <w:rsid w:val="00B67915"/>
    <w:rsid w:val="00B705B0"/>
    <w:rsid w:val="00B772F1"/>
    <w:rsid w:val="00B77D6B"/>
    <w:rsid w:val="00B813AF"/>
    <w:rsid w:val="00B82054"/>
    <w:rsid w:val="00B824C2"/>
    <w:rsid w:val="00B82CB3"/>
    <w:rsid w:val="00B835B4"/>
    <w:rsid w:val="00B8370C"/>
    <w:rsid w:val="00B83BAA"/>
    <w:rsid w:val="00B83F5E"/>
    <w:rsid w:val="00B842CF"/>
    <w:rsid w:val="00B85CD2"/>
    <w:rsid w:val="00B86477"/>
    <w:rsid w:val="00B904BE"/>
    <w:rsid w:val="00B90518"/>
    <w:rsid w:val="00B914F2"/>
    <w:rsid w:val="00B9162A"/>
    <w:rsid w:val="00B91B43"/>
    <w:rsid w:val="00B9381A"/>
    <w:rsid w:val="00B93D54"/>
    <w:rsid w:val="00B95357"/>
    <w:rsid w:val="00B95B9A"/>
    <w:rsid w:val="00B97841"/>
    <w:rsid w:val="00BA0545"/>
    <w:rsid w:val="00BA1705"/>
    <w:rsid w:val="00BA1BB6"/>
    <w:rsid w:val="00BA222E"/>
    <w:rsid w:val="00BA24C4"/>
    <w:rsid w:val="00BA26FF"/>
    <w:rsid w:val="00BA2F43"/>
    <w:rsid w:val="00BA3127"/>
    <w:rsid w:val="00BA3EB7"/>
    <w:rsid w:val="00BA41EB"/>
    <w:rsid w:val="00BA46EE"/>
    <w:rsid w:val="00BA4B60"/>
    <w:rsid w:val="00BA6CFF"/>
    <w:rsid w:val="00BA731F"/>
    <w:rsid w:val="00BA75E4"/>
    <w:rsid w:val="00BA7D7F"/>
    <w:rsid w:val="00BB14B6"/>
    <w:rsid w:val="00BB2A0B"/>
    <w:rsid w:val="00BB2B83"/>
    <w:rsid w:val="00BB3675"/>
    <w:rsid w:val="00BB46FD"/>
    <w:rsid w:val="00BB65ED"/>
    <w:rsid w:val="00BB6CE2"/>
    <w:rsid w:val="00BB707B"/>
    <w:rsid w:val="00BC0421"/>
    <w:rsid w:val="00BC0C28"/>
    <w:rsid w:val="00BC0F40"/>
    <w:rsid w:val="00BC1A23"/>
    <w:rsid w:val="00BC2B6A"/>
    <w:rsid w:val="00BC2C12"/>
    <w:rsid w:val="00BC3FF1"/>
    <w:rsid w:val="00BC5583"/>
    <w:rsid w:val="00BC5683"/>
    <w:rsid w:val="00BC6080"/>
    <w:rsid w:val="00BD20EA"/>
    <w:rsid w:val="00BD2111"/>
    <w:rsid w:val="00BD21E9"/>
    <w:rsid w:val="00BD424C"/>
    <w:rsid w:val="00BD6605"/>
    <w:rsid w:val="00BE35A0"/>
    <w:rsid w:val="00BE46F3"/>
    <w:rsid w:val="00BE63D9"/>
    <w:rsid w:val="00BE77AB"/>
    <w:rsid w:val="00BE7CE4"/>
    <w:rsid w:val="00BF0CF8"/>
    <w:rsid w:val="00BF339D"/>
    <w:rsid w:val="00BF43B6"/>
    <w:rsid w:val="00BF4C68"/>
    <w:rsid w:val="00BF50FE"/>
    <w:rsid w:val="00BF7B15"/>
    <w:rsid w:val="00BF7C65"/>
    <w:rsid w:val="00C0171C"/>
    <w:rsid w:val="00C020AA"/>
    <w:rsid w:val="00C02F6D"/>
    <w:rsid w:val="00C0330B"/>
    <w:rsid w:val="00C03558"/>
    <w:rsid w:val="00C03B10"/>
    <w:rsid w:val="00C0448D"/>
    <w:rsid w:val="00C048E1"/>
    <w:rsid w:val="00C06588"/>
    <w:rsid w:val="00C06C01"/>
    <w:rsid w:val="00C079ED"/>
    <w:rsid w:val="00C10ABC"/>
    <w:rsid w:val="00C10CFC"/>
    <w:rsid w:val="00C12E3C"/>
    <w:rsid w:val="00C13CEE"/>
    <w:rsid w:val="00C15DA6"/>
    <w:rsid w:val="00C1779E"/>
    <w:rsid w:val="00C2000D"/>
    <w:rsid w:val="00C20CC2"/>
    <w:rsid w:val="00C21AC6"/>
    <w:rsid w:val="00C21C29"/>
    <w:rsid w:val="00C224FF"/>
    <w:rsid w:val="00C22C25"/>
    <w:rsid w:val="00C2472E"/>
    <w:rsid w:val="00C24992"/>
    <w:rsid w:val="00C25DE3"/>
    <w:rsid w:val="00C260BD"/>
    <w:rsid w:val="00C26D27"/>
    <w:rsid w:val="00C27793"/>
    <w:rsid w:val="00C27A4C"/>
    <w:rsid w:val="00C27C5C"/>
    <w:rsid w:val="00C31386"/>
    <w:rsid w:val="00C32237"/>
    <w:rsid w:val="00C328D8"/>
    <w:rsid w:val="00C32FA8"/>
    <w:rsid w:val="00C339E4"/>
    <w:rsid w:val="00C33EDE"/>
    <w:rsid w:val="00C343A2"/>
    <w:rsid w:val="00C34B63"/>
    <w:rsid w:val="00C3569F"/>
    <w:rsid w:val="00C36B2F"/>
    <w:rsid w:val="00C375C7"/>
    <w:rsid w:val="00C40461"/>
    <w:rsid w:val="00C40862"/>
    <w:rsid w:val="00C40DA0"/>
    <w:rsid w:val="00C415E4"/>
    <w:rsid w:val="00C43284"/>
    <w:rsid w:val="00C43654"/>
    <w:rsid w:val="00C43B53"/>
    <w:rsid w:val="00C45ED4"/>
    <w:rsid w:val="00C47A1C"/>
    <w:rsid w:val="00C47BED"/>
    <w:rsid w:val="00C52462"/>
    <w:rsid w:val="00C52660"/>
    <w:rsid w:val="00C52815"/>
    <w:rsid w:val="00C52A5E"/>
    <w:rsid w:val="00C53862"/>
    <w:rsid w:val="00C540E3"/>
    <w:rsid w:val="00C54231"/>
    <w:rsid w:val="00C54E5E"/>
    <w:rsid w:val="00C55116"/>
    <w:rsid w:val="00C55387"/>
    <w:rsid w:val="00C55A90"/>
    <w:rsid w:val="00C5659A"/>
    <w:rsid w:val="00C600C7"/>
    <w:rsid w:val="00C64F7A"/>
    <w:rsid w:val="00C65143"/>
    <w:rsid w:val="00C658C6"/>
    <w:rsid w:val="00C66267"/>
    <w:rsid w:val="00C709C8"/>
    <w:rsid w:val="00C70B15"/>
    <w:rsid w:val="00C71D95"/>
    <w:rsid w:val="00C725C5"/>
    <w:rsid w:val="00C75151"/>
    <w:rsid w:val="00C753B6"/>
    <w:rsid w:val="00C76126"/>
    <w:rsid w:val="00C776E8"/>
    <w:rsid w:val="00C777FB"/>
    <w:rsid w:val="00C828CD"/>
    <w:rsid w:val="00C84EB3"/>
    <w:rsid w:val="00C8559B"/>
    <w:rsid w:val="00C8599A"/>
    <w:rsid w:val="00C870EC"/>
    <w:rsid w:val="00C90104"/>
    <w:rsid w:val="00C9033D"/>
    <w:rsid w:val="00C90A05"/>
    <w:rsid w:val="00C91C38"/>
    <w:rsid w:val="00C93617"/>
    <w:rsid w:val="00C96076"/>
    <w:rsid w:val="00C96744"/>
    <w:rsid w:val="00C9767A"/>
    <w:rsid w:val="00CA03F5"/>
    <w:rsid w:val="00CA0F35"/>
    <w:rsid w:val="00CA465C"/>
    <w:rsid w:val="00CA5320"/>
    <w:rsid w:val="00CA594D"/>
    <w:rsid w:val="00CA5CFA"/>
    <w:rsid w:val="00CA6131"/>
    <w:rsid w:val="00CA647A"/>
    <w:rsid w:val="00CA6FBE"/>
    <w:rsid w:val="00CA708C"/>
    <w:rsid w:val="00CA71DF"/>
    <w:rsid w:val="00CB632C"/>
    <w:rsid w:val="00CB6FD5"/>
    <w:rsid w:val="00CB7E05"/>
    <w:rsid w:val="00CB7FCA"/>
    <w:rsid w:val="00CC0D0B"/>
    <w:rsid w:val="00CC3C22"/>
    <w:rsid w:val="00CC4417"/>
    <w:rsid w:val="00CC463F"/>
    <w:rsid w:val="00CC4A2B"/>
    <w:rsid w:val="00CC4DCA"/>
    <w:rsid w:val="00CC57DE"/>
    <w:rsid w:val="00CC5F1D"/>
    <w:rsid w:val="00CC7563"/>
    <w:rsid w:val="00CD0451"/>
    <w:rsid w:val="00CD25B0"/>
    <w:rsid w:val="00CD3116"/>
    <w:rsid w:val="00CD3277"/>
    <w:rsid w:val="00CD3DD1"/>
    <w:rsid w:val="00CD426B"/>
    <w:rsid w:val="00CD50F8"/>
    <w:rsid w:val="00CD5C79"/>
    <w:rsid w:val="00CD71D5"/>
    <w:rsid w:val="00CD7250"/>
    <w:rsid w:val="00CD764B"/>
    <w:rsid w:val="00CE1297"/>
    <w:rsid w:val="00CE170D"/>
    <w:rsid w:val="00CE1D88"/>
    <w:rsid w:val="00CE37F7"/>
    <w:rsid w:val="00CE4004"/>
    <w:rsid w:val="00CE4162"/>
    <w:rsid w:val="00CF0314"/>
    <w:rsid w:val="00CF0FCF"/>
    <w:rsid w:val="00CF130A"/>
    <w:rsid w:val="00CF18CB"/>
    <w:rsid w:val="00CF210F"/>
    <w:rsid w:val="00CF2135"/>
    <w:rsid w:val="00CF284B"/>
    <w:rsid w:val="00CF2F73"/>
    <w:rsid w:val="00CF3D2C"/>
    <w:rsid w:val="00CF5AA3"/>
    <w:rsid w:val="00CF68D0"/>
    <w:rsid w:val="00CF7314"/>
    <w:rsid w:val="00CF78E1"/>
    <w:rsid w:val="00D00989"/>
    <w:rsid w:val="00D00E3A"/>
    <w:rsid w:val="00D026EC"/>
    <w:rsid w:val="00D02714"/>
    <w:rsid w:val="00D02770"/>
    <w:rsid w:val="00D02C8C"/>
    <w:rsid w:val="00D03C8F"/>
    <w:rsid w:val="00D041A8"/>
    <w:rsid w:val="00D04E28"/>
    <w:rsid w:val="00D05E0F"/>
    <w:rsid w:val="00D06C7B"/>
    <w:rsid w:val="00D06F67"/>
    <w:rsid w:val="00D07D6D"/>
    <w:rsid w:val="00D10B6C"/>
    <w:rsid w:val="00D12739"/>
    <w:rsid w:val="00D1280F"/>
    <w:rsid w:val="00D13187"/>
    <w:rsid w:val="00D13E15"/>
    <w:rsid w:val="00D166E8"/>
    <w:rsid w:val="00D16822"/>
    <w:rsid w:val="00D2035E"/>
    <w:rsid w:val="00D203CE"/>
    <w:rsid w:val="00D210FA"/>
    <w:rsid w:val="00D25346"/>
    <w:rsid w:val="00D25BA4"/>
    <w:rsid w:val="00D26E1B"/>
    <w:rsid w:val="00D27117"/>
    <w:rsid w:val="00D27A2D"/>
    <w:rsid w:val="00D302B6"/>
    <w:rsid w:val="00D317F6"/>
    <w:rsid w:val="00D31A44"/>
    <w:rsid w:val="00D33250"/>
    <w:rsid w:val="00D33788"/>
    <w:rsid w:val="00D33851"/>
    <w:rsid w:val="00D33FE7"/>
    <w:rsid w:val="00D34F25"/>
    <w:rsid w:val="00D35CD0"/>
    <w:rsid w:val="00D35E4A"/>
    <w:rsid w:val="00D35F02"/>
    <w:rsid w:val="00D3694E"/>
    <w:rsid w:val="00D375AF"/>
    <w:rsid w:val="00D378C5"/>
    <w:rsid w:val="00D40214"/>
    <w:rsid w:val="00D4050C"/>
    <w:rsid w:val="00D40AB4"/>
    <w:rsid w:val="00D41C43"/>
    <w:rsid w:val="00D43772"/>
    <w:rsid w:val="00D43A02"/>
    <w:rsid w:val="00D4566B"/>
    <w:rsid w:val="00D470D8"/>
    <w:rsid w:val="00D47124"/>
    <w:rsid w:val="00D474AD"/>
    <w:rsid w:val="00D5089D"/>
    <w:rsid w:val="00D51213"/>
    <w:rsid w:val="00D539C6"/>
    <w:rsid w:val="00D53C68"/>
    <w:rsid w:val="00D5539E"/>
    <w:rsid w:val="00D5546C"/>
    <w:rsid w:val="00D57366"/>
    <w:rsid w:val="00D57471"/>
    <w:rsid w:val="00D57F0E"/>
    <w:rsid w:val="00D614BB"/>
    <w:rsid w:val="00D61D6A"/>
    <w:rsid w:val="00D629EC"/>
    <w:rsid w:val="00D65391"/>
    <w:rsid w:val="00D66A1F"/>
    <w:rsid w:val="00D66D5F"/>
    <w:rsid w:val="00D74061"/>
    <w:rsid w:val="00D745DA"/>
    <w:rsid w:val="00D747C0"/>
    <w:rsid w:val="00D757CB"/>
    <w:rsid w:val="00D75E91"/>
    <w:rsid w:val="00D76418"/>
    <w:rsid w:val="00D76F41"/>
    <w:rsid w:val="00D7763C"/>
    <w:rsid w:val="00D77738"/>
    <w:rsid w:val="00D80350"/>
    <w:rsid w:val="00D828AD"/>
    <w:rsid w:val="00D83C3C"/>
    <w:rsid w:val="00D84C03"/>
    <w:rsid w:val="00D84D8A"/>
    <w:rsid w:val="00D84DB5"/>
    <w:rsid w:val="00D86759"/>
    <w:rsid w:val="00D86985"/>
    <w:rsid w:val="00D87510"/>
    <w:rsid w:val="00D87AAC"/>
    <w:rsid w:val="00D87C36"/>
    <w:rsid w:val="00D9141A"/>
    <w:rsid w:val="00D92C22"/>
    <w:rsid w:val="00D939BC"/>
    <w:rsid w:val="00D95263"/>
    <w:rsid w:val="00D976C6"/>
    <w:rsid w:val="00D97951"/>
    <w:rsid w:val="00D97C44"/>
    <w:rsid w:val="00DA0BC9"/>
    <w:rsid w:val="00DA0BF7"/>
    <w:rsid w:val="00DA0C48"/>
    <w:rsid w:val="00DA0EE9"/>
    <w:rsid w:val="00DA1337"/>
    <w:rsid w:val="00DA340E"/>
    <w:rsid w:val="00DA381B"/>
    <w:rsid w:val="00DA4F82"/>
    <w:rsid w:val="00DA583B"/>
    <w:rsid w:val="00DA7F2D"/>
    <w:rsid w:val="00DB25C4"/>
    <w:rsid w:val="00DB2E55"/>
    <w:rsid w:val="00DB60AF"/>
    <w:rsid w:val="00DB6A14"/>
    <w:rsid w:val="00DC1AC7"/>
    <w:rsid w:val="00DC2346"/>
    <w:rsid w:val="00DC2E74"/>
    <w:rsid w:val="00DC36DE"/>
    <w:rsid w:val="00DC3860"/>
    <w:rsid w:val="00DC63CB"/>
    <w:rsid w:val="00DC6FCF"/>
    <w:rsid w:val="00DC7167"/>
    <w:rsid w:val="00DC734E"/>
    <w:rsid w:val="00DC7410"/>
    <w:rsid w:val="00DC7528"/>
    <w:rsid w:val="00DD033F"/>
    <w:rsid w:val="00DD15BE"/>
    <w:rsid w:val="00DD28F6"/>
    <w:rsid w:val="00DD3E94"/>
    <w:rsid w:val="00DD5A0B"/>
    <w:rsid w:val="00DD6976"/>
    <w:rsid w:val="00DD698F"/>
    <w:rsid w:val="00DD6C2E"/>
    <w:rsid w:val="00DE1BBD"/>
    <w:rsid w:val="00DE1C32"/>
    <w:rsid w:val="00DE447A"/>
    <w:rsid w:val="00DE5B13"/>
    <w:rsid w:val="00DE5B40"/>
    <w:rsid w:val="00DE62A6"/>
    <w:rsid w:val="00DE7574"/>
    <w:rsid w:val="00DF1B67"/>
    <w:rsid w:val="00DF29A9"/>
    <w:rsid w:val="00DF30A3"/>
    <w:rsid w:val="00DF3FF4"/>
    <w:rsid w:val="00DF4218"/>
    <w:rsid w:val="00DF5B4D"/>
    <w:rsid w:val="00DF77A1"/>
    <w:rsid w:val="00E01E1C"/>
    <w:rsid w:val="00E02169"/>
    <w:rsid w:val="00E02608"/>
    <w:rsid w:val="00E02609"/>
    <w:rsid w:val="00E03644"/>
    <w:rsid w:val="00E049DB"/>
    <w:rsid w:val="00E04A99"/>
    <w:rsid w:val="00E04D0B"/>
    <w:rsid w:val="00E07633"/>
    <w:rsid w:val="00E079FD"/>
    <w:rsid w:val="00E07B8D"/>
    <w:rsid w:val="00E07E4C"/>
    <w:rsid w:val="00E102D2"/>
    <w:rsid w:val="00E115C3"/>
    <w:rsid w:val="00E1204D"/>
    <w:rsid w:val="00E12F5C"/>
    <w:rsid w:val="00E1375B"/>
    <w:rsid w:val="00E14708"/>
    <w:rsid w:val="00E14C04"/>
    <w:rsid w:val="00E157AE"/>
    <w:rsid w:val="00E157C3"/>
    <w:rsid w:val="00E1596E"/>
    <w:rsid w:val="00E20034"/>
    <w:rsid w:val="00E2084E"/>
    <w:rsid w:val="00E25348"/>
    <w:rsid w:val="00E277FB"/>
    <w:rsid w:val="00E27C0C"/>
    <w:rsid w:val="00E312CA"/>
    <w:rsid w:val="00E317EF"/>
    <w:rsid w:val="00E32AD0"/>
    <w:rsid w:val="00E33F80"/>
    <w:rsid w:val="00E35052"/>
    <w:rsid w:val="00E353B6"/>
    <w:rsid w:val="00E37258"/>
    <w:rsid w:val="00E37CC2"/>
    <w:rsid w:val="00E407EB"/>
    <w:rsid w:val="00E40D37"/>
    <w:rsid w:val="00E4262F"/>
    <w:rsid w:val="00E42F83"/>
    <w:rsid w:val="00E47D26"/>
    <w:rsid w:val="00E5024B"/>
    <w:rsid w:val="00E509BC"/>
    <w:rsid w:val="00E530BF"/>
    <w:rsid w:val="00E54428"/>
    <w:rsid w:val="00E54E31"/>
    <w:rsid w:val="00E54E41"/>
    <w:rsid w:val="00E5591D"/>
    <w:rsid w:val="00E56FEE"/>
    <w:rsid w:val="00E571D5"/>
    <w:rsid w:val="00E57755"/>
    <w:rsid w:val="00E57765"/>
    <w:rsid w:val="00E607E3"/>
    <w:rsid w:val="00E60902"/>
    <w:rsid w:val="00E6153D"/>
    <w:rsid w:val="00E624CF"/>
    <w:rsid w:val="00E62D06"/>
    <w:rsid w:val="00E642F3"/>
    <w:rsid w:val="00E6432B"/>
    <w:rsid w:val="00E651BE"/>
    <w:rsid w:val="00E6627F"/>
    <w:rsid w:val="00E67D7B"/>
    <w:rsid w:val="00E72125"/>
    <w:rsid w:val="00E721B9"/>
    <w:rsid w:val="00E724BA"/>
    <w:rsid w:val="00E728D2"/>
    <w:rsid w:val="00E734B0"/>
    <w:rsid w:val="00E80F5F"/>
    <w:rsid w:val="00E81812"/>
    <w:rsid w:val="00E81AFE"/>
    <w:rsid w:val="00E82A1F"/>
    <w:rsid w:val="00E83206"/>
    <w:rsid w:val="00E83231"/>
    <w:rsid w:val="00E8478D"/>
    <w:rsid w:val="00E84E62"/>
    <w:rsid w:val="00E85E50"/>
    <w:rsid w:val="00E9115A"/>
    <w:rsid w:val="00E91F62"/>
    <w:rsid w:val="00E92AD8"/>
    <w:rsid w:val="00E945BA"/>
    <w:rsid w:val="00E95721"/>
    <w:rsid w:val="00E969EE"/>
    <w:rsid w:val="00EA156A"/>
    <w:rsid w:val="00EA1622"/>
    <w:rsid w:val="00EA196F"/>
    <w:rsid w:val="00EA31CD"/>
    <w:rsid w:val="00EA4DB4"/>
    <w:rsid w:val="00EB06AB"/>
    <w:rsid w:val="00EB0826"/>
    <w:rsid w:val="00EB0D59"/>
    <w:rsid w:val="00EB1515"/>
    <w:rsid w:val="00EB187F"/>
    <w:rsid w:val="00EB1AEB"/>
    <w:rsid w:val="00EB1CEC"/>
    <w:rsid w:val="00EB2832"/>
    <w:rsid w:val="00EB3436"/>
    <w:rsid w:val="00EB55B5"/>
    <w:rsid w:val="00EB5744"/>
    <w:rsid w:val="00EB7814"/>
    <w:rsid w:val="00EC18A7"/>
    <w:rsid w:val="00EC1987"/>
    <w:rsid w:val="00EC3760"/>
    <w:rsid w:val="00EC4F87"/>
    <w:rsid w:val="00EC6D3E"/>
    <w:rsid w:val="00EC7EB1"/>
    <w:rsid w:val="00ED307C"/>
    <w:rsid w:val="00ED3844"/>
    <w:rsid w:val="00ED43DC"/>
    <w:rsid w:val="00ED4EBA"/>
    <w:rsid w:val="00ED6716"/>
    <w:rsid w:val="00ED7C04"/>
    <w:rsid w:val="00EE3FA8"/>
    <w:rsid w:val="00EE4073"/>
    <w:rsid w:val="00EE45AC"/>
    <w:rsid w:val="00EE54F0"/>
    <w:rsid w:val="00EE553E"/>
    <w:rsid w:val="00EE61BC"/>
    <w:rsid w:val="00EE723E"/>
    <w:rsid w:val="00EE7339"/>
    <w:rsid w:val="00EF1463"/>
    <w:rsid w:val="00EF19E0"/>
    <w:rsid w:val="00EF1F2F"/>
    <w:rsid w:val="00EF1F72"/>
    <w:rsid w:val="00EF266B"/>
    <w:rsid w:val="00EF2B06"/>
    <w:rsid w:val="00EF3BA0"/>
    <w:rsid w:val="00EF68C6"/>
    <w:rsid w:val="00EF6FD6"/>
    <w:rsid w:val="00EF7235"/>
    <w:rsid w:val="00EF7335"/>
    <w:rsid w:val="00F02075"/>
    <w:rsid w:val="00F02AD0"/>
    <w:rsid w:val="00F03B6E"/>
    <w:rsid w:val="00F03F32"/>
    <w:rsid w:val="00F043A7"/>
    <w:rsid w:val="00F04F1C"/>
    <w:rsid w:val="00F05252"/>
    <w:rsid w:val="00F064D9"/>
    <w:rsid w:val="00F07128"/>
    <w:rsid w:val="00F108EF"/>
    <w:rsid w:val="00F10AE6"/>
    <w:rsid w:val="00F13028"/>
    <w:rsid w:val="00F13B0E"/>
    <w:rsid w:val="00F14012"/>
    <w:rsid w:val="00F14ABA"/>
    <w:rsid w:val="00F14D84"/>
    <w:rsid w:val="00F151CD"/>
    <w:rsid w:val="00F15C77"/>
    <w:rsid w:val="00F1739A"/>
    <w:rsid w:val="00F1777B"/>
    <w:rsid w:val="00F2098D"/>
    <w:rsid w:val="00F21B48"/>
    <w:rsid w:val="00F21FE8"/>
    <w:rsid w:val="00F23C1B"/>
    <w:rsid w:val="00F2411A"/>
    <w:rsid w:val="00F25113"/>
    <w:rsid w:val="00F26389"/>
    <w:rsid w:val="00F2689E"/>
    <w:rsid w:val="00F277C1"/>
    <w:rsid w:val="00F30DFC"/>
    <w:rsid w:val="00F313C6"/>
    <w:rsid w:val="00F31491"/>
    <w:rsid w:val="00F320F6"/>
    <w:rsid w:val="00F325FA"/>
    <w:rsid w:val="00F33EFE"/>
    <w:rsid w:val="00F34E3D"/>
    <w:rsid w:val="00F41CC3"/>
    <w:rsid w:val="00F4292B"/>
    <w:rsid w:val="00F43238"/>
    <w:rsid w:val="00F438CE"/>
    <w:rsid w:val="00F43E0E"/>
    <w:rsid w:val="00F44B4C"/>
    <w:rsid w:val="00F46119"/>
    <w:rsid w:val="00F47976"/>
    <w:rsid w:val="00F47F8B"/>
    <w:rsid w:val="00F50DDF"/>
    <w:rsid w:val="00F50F11"/>
    <w:rsid w:val="00F511F1"/>
    <w:rsid w:val="00F5382D"/>
    <w:rsid w:val="00F53A86"/>
    <w:rsid w:val="00F53D9E"/>
    <w:rsid w:val="00F5501C"/>
    <w:rsid w:val="00F55D5B"/>
    <w:rsid w:val="00F569C4"/>
    <w:rsid w:val="00F56DD2"/>
    <w:rsid w:val="00F614CF"/>
    <w:rsid w:val="00F620FE"/>
    <w:rsid w:val="00F6324F"/>
    <w:rsid w:val="00F63644"/>
    <w:rsid w:val="00F643A4"/>
    <w:rsid w:val="00F65F0A"/>
    <w:rsid w:val="00F670B7"/>
    <w:rsid w:val="00F7030D"/>
    <w:rsid w:val="00F70514"/>
    <w:rsid w:val="00F71BDC"/>
    <w:rsid w:val="00F726DC"/>
    <w:rsid w:val="00F73895"/>
    <w:rsid w:val="00F744BF"/>
    <w:rsid w:val="00F74DC8"/>
    <w:rsid w:val="00F75392"/>
    <w:rsid w:val="00F7632A"/>
    <w:rsid w:val="00F76A83"/>
    <w:rsid w:val="00F80180"/>
    <w:rsid w:val="00F8019E"/>
    <w:rsid w:val="00F80469"/>
    <w:rsid w:val="00F80510"/>
    <w:rsid w:val="00F8205E"/>
    <w:rsid w:val="00F839EF"/>
    <w:rsid w:val="00F851CC"/>
    <w:rsid w:val="00F855CD"/>
    <w:rsid w:val="00F85DD7"/>
    <w:rsid w:val="00F86373"/>
    <w:rsid w:val="00F87A30"/>
    <w:rsid w:val="00F92965"/>
    <w:rsid w:val="00F935B9"/>
    <w:rsid w:val="00F93927"/>
    <w:rsid w:val="00F94C58"/>
    <w:rsid w:val="00F95DB6"/>
    <w:rsid w:val="00F960DD"/>
    <w:rsid w:val="00F9699F"/>
    <w:rsid w:val="00F973B5"/>
    <w:rsid w:val="00F976C4"/>
    <w:rsid w:val="00FA2E38"/>
    <w:rsid w:val="00FA32ED"/>
    <w:rsid w:val="00FA4F6E"/>
    <w:rsid w:val="00FA588D"/>
    <w:rsid w:val="00FA59A3"/>
    <w:rsid w:val="00FA6006"/>
    <w:rsid w:val="00FA768B"/>
    <w:rsid w:val="00FB0277"/>
    <w:rsid w:val="00FB03C0"/>
    <w:rsid w:val="00FB1AAB"/>
    <w:rsid w:val="00FB284A"/>
    <w:rsid w:val="00FB3047"/>
    <w:rsid w:val="00FB753E"/>
    <w:rsid w:val="00FC1764"/>
    <w:rsid w:val="00FC17D7"/>
    <w:rsid w:val="00FC1A28"/>
    <w:rsid w:val="00FC2940"/>
    <w:rsid w:val="00FC2AF4"/>
    <w:rsid w:val="00FC2C5A"/>
    <w:rsid w:val="00FC55C9"/>
    <w:rsid w:val="00FC632B"/>
    <w:rsid w:val="00FC6700"/>
    <w:rsid w:val="00FD07AE"/>
    <w:rsid w:val="00FD3021"/>
    <w:rsid w:val="00FD3DB9"/>
    <w:rsid w:val="00FD478E"/>
    <w:rsid w:val="00FD4EC8"/>
    <w:rsid w:val="00FD5237"/>
    <w:rsid w:val="00FE04C1"/>
    <w:rsid w:val="00FE06A8"/>
    <w:rsid w:val="00FE07C9"/>
    <w:rsid w:val="00FE4A91"/>
    <w:rsid w:val="00FE6DF5"/>
    <w:rsid w:val="00FE7AA4"/>
    <w:rsid w:val="00FE7F8C"/>
    <w:rsid w:val="00FF04CC"/>
    <w:rsid w:val="00FF21D9"/>
    <w:rsid w:val="00FF2CAF"/>
    <w:rsid w:val="00FF5878"/>
    <w:rsid w:val="00FF5C98"/>
    <w:rsid w:val="00FF5E37"/>
    <w:rsid w:val="00FF6E47"/>
    <w:rsid w:val="00FF73E8"/>
    <w:rsid w:val="01261C34"/>
    <w:rsid w:val="01E86A0F"/>
    <w:rsid w:val="02296FA6"/>
    <w:rsid w:val="024E461C"/>
    <w:rsid w:val="025128D3"/>
    <w:rsid w:val="028A316A"/>
    <w:rsid w:val="02A6003B"/>
    <w:rsid w:val="02C321CF"/>
    <w:rsid w:val="02D76163"/>
    <w:rsid w:val="033009A2"/>
    <w:rsid w:val="033A342B"/>
    <w:rsid w:val="033B5FF4"/>
    <w:rsid w:val="037F2653"/>
    <w:rsid w:val="038815E4"/>
    <w:rsid w:val="03A35CCF"/>
    <w:rsid w:val="045148B9"/>
    <w:rsid w:val="045515C8"/>
    <w:rsid w:val="04982833"/>
    <w:rsid w:val="04CF64B3"/>
    <w:rsid w:val="05004D1D"/>
    <w:rsid w:val="05122F99"/>
    <w:rsid w:val="05187C22"/>
    <w:rsid w:val="05370596"/>
    <w:rsid w:val="05521FB7"/>
    <w:rsid w:val="055D43D1"/>
    <w:rsid w:val="058D4570"/>
    <w:rsid w:val="05923795"/>
    <w:rsid w:val="05AD1C00"/>
    <w:rsid w:val="05D4001C"/>
    <w:rsid w:val="06184B5A"/>
    <w:rsid w:val="0642147D"/>
    <w:rsid w:val="064865F0"/>
    <w:rsid w:val="06607730"/>
    <w:rsid w:val="068E07EB"/>
    <w:rsid w:val="06CF795D"/>
    <w:rsid w:val="06DB44FF"/>
    <w:rsid w:val="06E46C11"/>
    <w:rsid w:val="07067C6A"/>
    <w:rsid w:val="0778479E"/>
    <w:rsid w:val="07DB2CCB"/>
    <w:rsid w:val="082C0DC2"/>
    <w:rsid w:val="087A2296"/>
    <w:rsid w:val="09196BE7"/>
    <w:rsid w:val="09395978"/>
    <w:rsid w:val="09557F9F"/>
    <w:rsid w:val="09827743"/>
    <w:rsid w:val="0A1B4978"/>
    <w:rsid w:val="0A8522AD"/>
    <w:rsid w:val="0A9214D3"/>
    <w:rsid w:val="0AC77F71"/>
    <w:rsid w:val="0BD042DB"/>
    <w:rsid w:val="0BD33600"/>
    <w:rsid w:val="0C990302"/>
    <w:rsid w:val="0C9E2BB6"/>
    <w:rsid w:val="0CB51C9C"/>
    <w:rsid w:val="0CCC76DC"/>
    <w:rsid w:val="0CD1699B"/>
    <w:rsid w:val="0D100D45"/>
    <w:rsid w:val="0D3868AB"/>
    <w:rsid w:val="0D7425FA"/>
    <w:rsid w:val="0D815973"/>
    <w:rsid w:val="0DE70698"/>
    <w:rsid w:val="0DF41562"/>
    <w:rsid w:val="0E2D124A"/>
    <w:rsid w:val="0E4E0755"/>
    <w:rsid w:val="0E8576EC"/>
    <w:rsid w:val="0E935D83"/>
    <w:rsid w:val="0EDB309B"/>
    <w:rsid w:val="0F28684D"/>
    <w:rsid w:val="0F950999"/>
    <w:rsid w:val="0FC021F7"/>
    <w:rsid w:val="0FCE3F7E"/>
    <w:rsid w:val="101531CB"/>
    <w:rsid w:val="10291879"/>
    <w:rsid w:val="102C5F92"/>
    <w:rsid w:val="105546CF"/>
    <w:rsid w:val="10661719"/>
    <w:rsid w:val="10B45CAC"/>
    <w:rsid w:val="10E6511F"/>
    <w:rsid w:val="11433D16"/>
    <w:rsid w:val="116C6AD2"/>
    <w:rsid w:val="11777549"/>
    <w:rsid w:val="117E41EF"/>
    <w:rsid w:val="117F1456"/>
    <w:rsid w:val="12010CC2"/>
    <w:rsid w:val="121D2872"/>
    <w:rsid w:val="121D618A"/>
    <w:rsid w:val="122658F0"/>
    <w:rsid w:val="12462E6B"/>
    <w:rsid w:val="12880BD4"/>
    <w:rsid w:val="12FA391E"/>
    <w:rsid w:val="13026E93"/>
    <w:rsid w:val="1318720E"/>
    <w:rsid w:val="13274BD1"/>
    <w:rsid w:val="136F048D"/>
    <w:rsid w:val="13920A86"/>
    <w:rsid w:val="13B702D5"/>
    <w:rsid w:val="13CD6CA5"/>
    <w:rsid w:val="145C713E"/>
    <w:rsid w:val="14947B84"/>
    <w:rsid w:val="14EE3F33"/>
    <w:rsid w:val="14FA2B93"/>
    <w:rsid w:val="15E42548"/>
    <w:rsid w:val="164B4CB8"/>
    <w:rsid w:val="16B54EFD"/>
    <w:rsid w:val="17085A82"/>
    <w:rsid w:val="173A4E6A"/>
    <w:rsid w:val="177E2B1A"/>
    <w:rsid w:val="17B150C0"/>
    <w:rsid w:val="17CA2865"/>
    <w:rsid w:val="18235B92"/>
    <w:rsid w:val="18283760"/>
    <w:rsid w:val="18794DEA"/>
    <w:rsid w:val="18893508"/>
    <w:rsid w:val="18BD4227"/>
    <w:rsid w:val="18F56E75"/>
    <w:rsid w:val="19222C8A"/>
    <w:rsid w:val="19622C4B"/>
    <w:rsid w:val="19653AD7"/>
    <w:rsid w:val="196B1039"/>
    <w:rsid w:val="19F90D07"/>
    <w:rsid w:val="1A7473DA"/>
    <w:rsid w:val="1AA700B1"/>
    <w:rsid w:val="1AC77BBA"/>
    <w:rsid w:val="1ADC0534"/>
    <w:rsid w:val="1B7D5337"/>
    <w:rsid w:val="1BAC1659"/>
    <w:rsid w:val="1BE60C1B"/>
    <w:rsid w:val="1C3A0C8C"/>
    <w:rsid w:val="1C476A1D"/>
    <w:rsid w:val="1C837735"/>
    <w:rsid w:val="1CC662E1"/>
    <w:rsid w:val="1D113F56"/>
    <w:rsid w:val="1DEB226B"/>
    <w:rsid w:val="1E2C74A0"/>
    <w:rsid w:val="1E93010B"/>
    <w:rsid w:val="1EBA53BB"/>
    <w:rsid w:val="1EE334BF"/>
    <w:rsid w:val="1F6D2FF4"/>
    <w:rsid w:val="1F990BDC"/>
    <w:rsid w:val="1FA57E17"/>
    <w:rsid w:val="1FDF10F6"/>
    <w:rsid w:val="1FEA2678"/>
    <w:rsid w:val="2069451D"/>
    <w:rsid w:val="20732EFA"/>
    <w:rsid w:val="20AE118A"/>
    <w:rsid w:val="20CA4F53"/>
    <w:rsid w:val="20FB4E42"/>
    <w:rsid w:val="210C0D8D"/>
    <w:rsid w:val="21662074"/>
    <w:rsid w:val="21BD06B3"/>
    <w:rsid w:val="21BF10C2"/>
    <w:rsid w:val="21CE3E0D"/>
    <w:rsid w:val="21D7609D"/>
    <w:rsid w:val="2204576C"/>
    <w:rsid w:val="220F78C4"/>
    <w:rsid w:val="221D410E"/>
    <w:rsid w:val="22207494"/>
    <w:rsid w:val="226B18C0"/>
    <w:rsid w:val="226F1D99"/>
    <w:rsid w:val="22745D9D"/>
    <w:rsid w:val="22A65B7B"/>
    <w:rsid w:val="22E05ED9"/>
    <w:rsid w:val="22F212C3"/>
    <w:rsid w:val="234059E6"/>
    <w:rsid w:val="23566F5B"/>
    <w:rsid w:val="236B3BAE"/>
    <w:rsid w:val="238C079A"/>
    <w:rsid w:val="24165CE3"/>
    <w:rsid w:val="245301F1"/>
    <w:rsid w:val="245A170F"/>
    <w:rsid w:val="2483647E"/>
    <w:rsid w:val="24A63E4C"/>
    <w:rsid w:val="25084090"/>
    <w:rsid w:val="25194443"/>
    <w:rsid w:val="25365E5F"/>
    <w:rsid w:val="258074F4"/>
    <w:rsid w:val="26332DDA"/>
    <w:rsid w:val="263A65B8"/>
    <w:rsid w:val="268D3773"/>
    <w:rsid w:val="26A91D9C"/>
    <w:rsid w:val="26D13D2E"/>
    <w:rsid w:val="26E04294"/>
    <w:rsid w:val="26F71EA4"/>
    <w:rsid w:val="270A1778"/>
    <w:rsid w:val="27251CCB"/>
    <w:rsid w:val="27327E6F"/>
    <w:rsid w:val="2735085F"/>
    <w:rsid w:val="27595FE0"/>
    <w:rsid w:val="27724AD6"/>
    <w:rsid w:val="27D96B52"/>
    <w:rsid w:val="27EB0A23"/>
    <w:rsid w:val="27F468CC"/>
    <w:rsid w:val="280902E9"/>
    <w:rsid w:val="28415FE8"/>
    <w:rsid w:val="285560BA"/>
    <w:rsid w:val="2856646D"/>
    <w:rsid w:val="28B25687"/>
    <w:rsid w:val="29034682"/>
    <w:rsid w:val="297A4AB2"/>
    <w:rsid w:val="299222D4"/>
    <w:rsid w:val="2A3010F1"/>
    <w:rsid w:val="2A3166C4"/>
    <w:rsid w:val="2A4A6DF8"/>
    <w:rsid w:val="2A897C73"/>
    <w:rsid w:val="2B005108"/>
    <w:rsid w:val="2B353A15"/>
    <w:rsid w:val="2B3F128C"/>
    <w:rsid w:val="2B8228B2"/>
    <w:rsid w:val="2BD77A63"/>
    <w:rsid w:val="2BEB2CB1"/>
    <w:rsid w:val="2C427114"/>
    <w:rsid w:val="2C6867C3"/>
    <w:rsid w:val="2C8344D4"/>
    <w:rsid w:val="2C85348C"/>
    <w:rsid w:val="2C9E0F71"/>
    <w:rsid w:val="2CE96B40"/>
    <w:rsid w:val="2CF963B4"/>
    <w:rsid w:val="2D2B1726"/>
    <w:rsid w:val="2DB30B3A"/>
    <w:rsid w:val="2DD66127"/>
    <w:rsid w:val="2DDC497C"/>
    <w:rsid w:val="2E282AB0"/>
    <w:rsid w:val="2EB7112E"/>
    <w:rsid w:val="2ECF4A54"/>
    <w:rsid w:val="2EF02FD1"/>
    <w:rsid w:val="2F172B7D"/>
    <w:rsid w:val="2F25159C"/>
    <w:rsid w:val="2F6652EA"/>
    <w:rsid w:val="2F83574C"/>
    <w:rsid w:val="2FCA72AC"/>
    <w:rsid w:val="2FCF41ED"/>
    <w:rsid w:val="2FF043EF"/>
    <w:rsid w:val="2FF91F50"/>
    <w:rsid w:val="300B3DF1"/>
    <w:rsid w:val="30214A34"/>
    <w:rsid w:val="302B6E1B"/>
    <w:rsid w:val="3054677E"/>
    <w:rsid w:val="306530DD"/>
    <w:rsid w:val="30A93D66"/>
    <w:rsid w:val="30C9695C"/>
    <w:rsid w:val="30F81604"/>
    <w:rsid w:val="31615536"/>
    <w:rsid w:val="31822CFA"/>
    <w:rsid w:val="318B5770"/>
    <w:rsid w:val="31972680"/>
    <w:rsid w:val="31D501D9"/>
    <w:rsid w:val="31D50E7A"/>
    <w:rsid w:val="31EC4516"/>
    <w:rsid w:val="32370DBE"/>
    <w:rsid w:val="32455729"/>
    <w:rsid w:val="324C535A"/>
    <w:rsid w:val="32E2043D"/>
    <w:rsid w:val="330024DC"/>
    <w:rsid w:val="336E70D7"/>
    <w:rsid w:val="337F3830"/>
    <w:rsid w:val="33A50551"/>
    <w:rsid w:val="33BF7154"/>
    <w:rsid w:val="33C82BAA"/>
    <w:rsid w:val="345030B0"/>
    <w:rsid w:val="34714269"/>
    <w:rsid w:val="34BB2D33"/>
    <w:rsid w:val="350F1023"/>
    <w:rsid w:val="351E5224"/>
    <w:rsid w:val="35234648"/>
    <w:rsid w:val="355E090D"/>
    <w:rsid w:val="35D229AD"/>
    <w:rsid w:val="362A7F18"/>
    <w:rsid w:val="36CD1DAE"/>
    <w:rsid w:val="36F55185"/>
    <w:rsid w:val="370E0C87"/>
    <w:rsid w:val="37336D29"/>
    <w:rsid w:val="374A0042"/>
    <w:rsid w:val="374F7AFA"/>
    <w:rsid w:val="37553F86"/>
    <w:rsid w:val="37AF26DD"/>
    <w:rsid w:val="37F81D90"/>
    <w:rsid w:val="386109E9"/>
    <w:rsid w:val="386C2428"/>
    <w:rsid w:val="39547D6B"/>
    <w:rsid w:val="3985625A"/>
    <w:rsid w:val="39860682"/>
    <w:rsid w:val="39A54AB2"/>
    <w:rsid w:val="39BF1ACD"/>
    <w:rsid w:val="3A942256"/>
    <w:rsid w:val="3AB00019"/>
    <w:rsid w:val="3AB10058"/>
    <w:rsid w:val="3AD735F9"/>
    <w:rsid w:val="3AFB5F67"/>
    <w:rsid w:val="3B3E52ED"/>
    <w:rsid w:val="3B697420"/>
    <w:rsid w:val="3B6C0A78"/>
    <w:rsid w:val="3B6F2D91"/>
    <w:rsid w:val="3BD50606"/>
    <w:rsid w:val="3BE8318F"/>
    <w:rsid w:val="3BEE0DEE"/>
    <w:rsid w:val="3C156E16"/>
    <w:rsid w:val="3C987AA1"/>
    <w:rsid w:val="3CA75C19"/>
    <w:rsid w:val="3DE62A49"/>
    <w:rsid w:val="3E0A1318"/>
    <w:rsid w:val="3E3939D8"/>
    <w:rsid w:val="3E9656D7"/>
    <w:rsid w:val="3E976D47"/>
    <w:rsid w:val="3E996789"/>
    <w:rsid w:val="3F0C57E7"/>
    <w:rsid w:val="3F3F7C99"/>
    <w:rsid w:val="3F4C3EA2"/>
    <w:rsid w:val="3F7A3D37"/>
    <w:rsid w:val="40056B68"/>
    <w:rsid w:val="40473F21"/>
    <w:rsid w:val="404A0788"/>
    <w:rsid w:val="406446CC"/>
    <w:rsid w:val="40937920"/>
    <w:rsid w:val="40C64F2D"/>
    <w:rsid w:val="40E92410"/>
    <w:rsid w:val="4121633A"/>
    <w:rsid w:val="412E554C"/>
    <w:rsid w:val="418B1909"/>
    <w:rsid w:val="41A80212"/>
    <w:rsid w:val="41C60CB3"/>
    <w:rsid w:val="425E4BC6"/>
    <w:rsid w:val="42BD04B2"/>
    <w:rsid w:val="42F607B9"/>
    <w:rsid w:val="42FF000C"/>
    <w:rsid w:val="433570C7"/>
    <w:rsid w:val="43566A51"/>
    <w:rsid w:val="43736A00"/>
    <w:rsid w:val="43796B3A"/>
    <w:rsid w:val="43877ADE"/>
    <w:rsid w:val="439A49C0"/>
    <w:rsid w:val="44245A25"/>
    <w:rsid w:val="44664FD0"/>
    <w:rsid w:val="448537DF"/>
    <w:rsid w:val="44854A14"/>
    <w:rsid w:val="44AC302C"/>
    <w:rsid w:val="451D5A35"/>
    <w:rsid w:val="454B1E90"/>
    <w:rsid w:val="4604339B"/>
    <w:rsid w:val="460E6170"/>
    <w:rsid w:val="46765471"/>
    <w:rsid w:val="46A87570"/>
    <w:rsid w:val="46F54273"/>
    <w:rsid w:val="47626CE3"/>
    <w:rsid w:val="47870C81"/>
    <w:rsid w:val="48060A17"/>
    <w:rsid w:val="486F5526"/>
    <w:rsid w:val="48A34D73"/>
    <w:rsid w:val="48D34695"/>
    <w:rsid w:val="48F76C37"/>
    <w:rsid w:val="4939385D"/>
    <w:rsid w:val="49476CC6"/>
    <w:rsid w:val="496F2796"/>
    <w:rsid w:val="49900E56"/>
    <w:rsid w:val="49AC68D6"/>
    <w:rsid w:val="49D66690"/>
    <w:rsid w:val="4A616313"/>
    <w:rsid w:val="4A857514"/>
    <w:rsid w:val="4AC606F9"/>
    <w:rsid w:val="4AD463D9"/>
    <w:rsid w:val="4AE4707C"/>
    <w:rsid w:val="4AEC503A"/>
    <w:rsid w:val="4B2D0BD2"/>
    <w:rsid w:val="4B3951C1"/>
    <w:rsid w:val="4B5F0F61"/>
    <w:rsid w:val="4B9A06BE"/>
    <w:rsid w:val="4BA341EB"/>
    <w:rsid w:val="4BD27B34"/>
    <w:rsid w:val="4BF13694"/>
    <w:rsid w:val="4BF50AE3"/>
    <w:rsid w:val="4C595AE5"/>
    <w:rsid w:val="4C65292A"/>
    <w:rsid w:val="4CA30348"/>
    <w:rsid w:val="4CAF1619"/>
    <w:rsid w:val="4D231996"/>
    <w:rsid w:val="4D3F51B5"/>
    <w:rsid w:val="4DE077B6"/>
    <w:rsid w:val="4E27337A"/>
    <w:rsid w:val="4E31357E"/>
    <w:rsid w:val="4E3553B9"/>
    <w:rsid w:val="4E673E78"/>
    <w:rsid w:val="4F0139CA"/>
    <w:rsid w:val="4F030D66"/>
    <w:rsid w:val="4F122B00"/>
    <w:rsid w:val="4F274A68"/>
    <w:rsid w:val="4F3E650A"/>
    <w:rsid w:val="4F713B8D"/>
    <w:rsid w:val="4F914AFA"/>
    <w:rsid w:val="4FBE6990"/>
    <w:rsid w:val="4FC71CA3"/>
    <w:rsid w:val="4FE12FAC"/>
    <w:rsid w:val="502B7A25"/>
    <w:rsid w:val="50A0716D"/>
    <w:rsid w:val="50A31BB3"/>
    <w:rsid w:val="50AB2F53"/>
    <w:rsid w:val="511C5B3F"/>
    <w:rsid w:val="51284645"/>
    <w:rsid w:val="51610420"/>
    <w:rsid w:val="516413F2"/>
    <w:rsid w:val="51654F92"/>
    <w:rsid w:val="516823DB"/>
    <w:rsid w:val="516D105E"/>
    <w:rsid w:val="52476966"/>
    <w:rsid w:val="532D72E9"/>
    <w:rsid w:val="533A636C"/>
    <w:rsid w:val="5351421C"/>
    <w:rsid w:val="53641B49"/>
    <w:rsid w:val="53B33866"/>
    <w:rsid w:val="53B72B02"/>
    <w:rsid w:val="53EC22E1"/>
    <w:rsid w:val="54017101"/>
    <w:rsid w:val="5411112E"/>
    <w:rsid w:val="544116D5"/>
    <w:rsid w:val="54C0760A"/>
    <w:rsid w:val="55371E3D"/>
    <w:rsid w:val="5585725F"/>
    <w:rsid w:val="559C2D3C"/>
    <w:rsid w:val="5659717F"/>
    <w:rsid w:val="5660275B"/>
    <w:rsid w:val="56813E95"/>
    <w:rsid w:val="56820BFA"/>
    <w:rsid w:val="5686190B"/>
    <w:rsid w:val="56934638"/>
    <w:rsid w:val="56AD1AE7"/>
    <w:rsid w:val="56BC5482"/>
    <w:rsid w:val="56C36AF6"/>
    <w:rsid w:val="57232DFC"/>
    <w:rsid w:val="577044BC"/>
    <w:rsid w:val="57E15D1C"/>
    <w:rsid w:val="58276C4E"/>
    <w:rsid w:val="58C75A96"/>
    <w:rsid w:val="596D54D8"/>
    <w:rsid w:val="599441FA"/>
    <w:rsid w:val="59AC3EAE"/>
    <w:rsid w:val="59AD61E1"/>
    <w:rsid w:val="59BE0DDD"/>
    <w:rsid w:val="59EC6EF0"/>
    <w:rsid w:val="59ED1050"/>
    <w:rsid w:val="5A197754"/>
    <w:rsid w:val="5A2E6D85"/>
    <w:rsid w:val="5A622FF0"/>
    <w:rsid w:val="5A710A14"/>
    <w:rsid w:val="5A7F2895"/>
    <w:rsid w:val="5AD14012"/>
    <w:rsid w:val="5AF95A5C"/>
    <w:rsid w:val="5B204FA7"/>
    <w:rsid w:val="5BCA0593"/>
    <w:rsid w:val="5BD35DF0"/>
    <w:rsid w:val="5BED1007"/>
    <w:rsid w:val="5C4A7F16"/>
    <w:rsid w:val="5C5578E4"/>
    <w:rsid w:val="5D1D1BEC"/>
    <w:rsid w:val="5D3C12E6"/>
    <w:rsid w:val="5D427EFD"/>
    <w:rsid w:val="5D6C2D72"/>
    <w:rsid w:val="5DE85260"/>
    <w:rsid w:val="5DE92DBD"/>
    <w:rsid w:val="5DF024CC"/>
    <w:rsid w:val="5DFE20F6"/>
    <w:rsid w:val="5E005E5E"/>
    <w:rsid w:val="5E9358FE"/>
    <w:rsid w:val="5EDF5346"/>
    <w:rsid w:val="5F4C16D0"/>
    <w:rsid w:val="5F737B4C"/>
    <w:rsid w:val="6002356B"/>
    <w:rsid w:val="60076F01"/>
    <w:rsid w:val="601479B1"/>
    <w:rsid w:val="6085204B"/>
    <w:rsid w:val="60CA618D"/>
    <w:rsid w:val="61231702"/>
    <w:rsid w:val="61346640"/>
    <w:rsid w:val="61677377"/>
    <w:rsid w:val="618D1B75"/>
    <w:rsid w:val="61D127FF"/>
    <w:rsid w:val="62010FB0"/>
    <w:rsid w:val="621D3107"/>
    <w:rsid w:val="627E7EC6"/>
    <w:rsid w:val="62824ECD"/>
    <w:rsid w:val="62D53C75"/>
    <w:rsid w:val="63055ED0"/>
    <w:rsid w:val="630D1D4C"/>
    <w:rsid w:val="63412C07"/>
    <w:rsid w:val="6363760B"/>
    <w:rsid w:val="63E17C49"/>
    <w:rsid w:val="6406167C"/>
    <w:rsid w:val="640F07E4"/>
    <w:rsid w:val="64261D87"/>
    <w:rsid w:val="643B7223"/>
    <w:rsid w:val="64877873"/>
    <w:rsid w:val="64D3517D"/>
    <w:rsid w:val="65977491"/>
    <w:rsid w:val="65A41C8F"/>
    <w:rsid w:val="65E603C8"/>
    <w:rsid w:val="65FD3A4C"/>
    <w:rsid w:val="66395DED"/>
    <w:rsid w:val="6648478F"/>
    <w:rsid w:val="667A2D5D"/>
    <w:rsid w:val="668778EC"/>
    <w:rsid w:val="66916804"/>
    <w:rsid w:val="66CE10DE"/>
    <w:rsid w:val="66D24101"/>
    <w:rsid w:val="6783204F"/>
    <w:rsid w:val="67CB2C57"/>
    <w:rsid w:val="67CC7980"/>
    <w:rsid w:val="68C173C9"/>
    <w:rsid w:val="68F920EE"/>
    <w:rsid w:val="695E7DBC"/>
    <w:rsid w:val="69684673"/>
    <w:rsid w:val="697B1D7E"/>
    <w:rsid w:val="69E36A42"/>
    <w:rsid w:val="6A304A73"/>
    <w:rsid w:val="6A616216"/>
    <w:rsid w:val="6AD21A6E"/>
    <w:rsid w:val="6B105462"/>
    <w:rsid w:val="6B600B3B"/>
    <w:rsid w:val="6B8D391A"/>
    <w:rsid w:val="6B8D5169"/>
    <w:rsid w:val="6B9D7B81"/>
    <w:rsid w:val="6BA03F48"/>
    <w:rsid w:val="6BB77ECF"/>
    <w:rsid w:val="6BC26AF7"/>
    <w:rsid w:val="6C0C3156"/>
    <w:rsid w:val="6C634B2B"/>
    <w:rsid w:val="6C7E7B10"/>
    <w:rsid w:val="6D3D7FFD"/>
    <w:rsid w:val="6D6D4BA2"/>
    <w:rsid w:val="6D8E2157"/>
    <w:rsid w:val="6DA322A3"/>
    <w:rsid w:val="6E4F1F53"/>
    <w:rsid w:val="6E850CD9"/>
    <w:rsid w:val="6E8F56AE"/>
    <w:rsid w:val="6F1B2B2E"/>
    <w:rsid w:val="6F3CD087"/>
    <w:rsid w:val="6F840C7F"/>
    <w:rsid w:val="6FC53942"/>
    <w:rsid w:val="6FCE7703"/>
    <w:rsid w:val="6FE2566C"/>
    <w:rsid w:val="6FE5076A"/>
    <w:rsid w:val="70D0194C"/>
    <w:rsid w:val="70D5308E"/>
    <w:rsid w:val="70EB2168"/>
    <w:rsid w:val="710C014F"/>
    <w:rsid w:val="7115008D"/>
    <w:rsid w:val="71644325"/>
    <w:rsid w:val="71871DA6"/>
    <w:rsid w:val="71B2518B"/>
    <w:rsid w:val="71C95BD8"/>
    <w:rsid w:val="71FE6CC5"/>
    <w:rsid w:val="720D1A9C"/>
    <w:rsid w:val="7220296A"/>
    <w:rsid w:val="725D58B4"/>
    <w:rsid w:val="726A0653"/>
    <w:rsid w:val="72A90C93"/>
    <w:rsid w:val="72BB0C53"/>
    <w:rsid w:val="72D953A2"/>
    <w:rsid w:val="72E33098"/>
    <w:rsid w:val="72E55B74"/>
    <w:rsid w:val="72F743FB"/>
    <w:rsid w:val="73184842"/>
    <w:rsid w:val="731E75FC"/>
    <w:rsid w:val="732B2365"/>
    <w:rsid w:val="73C72A7E"/>
    <w:rsid w:val="73D267A2"/>
    <w:rsid w:val="74BE612D"/>
    <w:rsid w:val="74E03F9F"/>
    <w:rsid w:val="74E521D9"/>
    <w:rsid w:val="74EE0F8F"/>
    <w:rsid w:val="74F56D07"/>
    <w:rsid w:val="755F13CF"/>
    <w:rsid w:val="75852778"/>
    <w:rsid w:val="75BD0477"/>
    <w:rsid w:val="75C84DC9"/>
    <w:rsid w:val="75CB7C2B"/>
    <w:rsid w:val="767F6886"/>
    <w:rsid w:val="76E95265"/>
    <w:rsid w:val="770B2BF5"/>
    <w:rsid w:val="77843414"/>
    <w:rsid w:val="77951654"/>
    <w:rsid w:val="77BA23F6"/>
    <w:rsid w:val="77BA7A82"/>
    <w:rsid w:val="77BB4610"/>
    <w:rsid w:val="77ED1A85"/>
    <w:rsid w:val="77F278C8"/>
    <w:rsid w:val="77FF3A68"/>
    <w:rsid w:val="7815202F"/>
    <w:rsid w:val="7847699D"/>
    <w:rsid w:val="78DF5F11"/>
    <w:rsid w:val="78F46363"/>
    <w:rsid w:val="7914322D"/>
    <w:rsid w:val="79AF209E"/>
    <w:rsid w:val="79E601D9"/>
    <w:rsid w:val="7A1859CE"/>
    <w:rsid w:val="7A387E24"/>
    <w:rsid w:val="7A4B4993"/>
    <w:rsid w:val="7AE94D76"/>
    <w:rsid w:val="7B5B1C4B"/>
    <w:rsid w:val="7B7A4299"/>
    <w:rsid w:val="7B862B73"/>
    <w:rsid w:val="7BCC2632"/>
    <w:rsid w:val="7BEF4106"/>
    <w:rsid w:val="7BF65C12"/>
    <w:rsid w:val="7C2F498D"/>
    <w:rsid w:val="7C5603F4"/>
    <w:rsid w:val="7C8D172C"/>
    <w:rsid w:val="7CC64AB4"/>
    <w:rsid w:val="7D6B350A"/>
    <w:rsid w:val="7D6D1B02"/>
    <w:rsid w:val="7D7A6BC1"/>
    <w:rsid w:val="7E605AB0"/>
    <w:rsid w:val="7EE47333"/>
    <w:rsid w:val="7EFC19F1"/>
    <w:rsid w:val="7F084AEA"/>
    <w:rsid w:val="7F1DAD92"/>
    <w:rsid w:val="7F3674A1"/>
    <w:rsid w:val="7F4B6E33"/>
    <w:rsid w:val="7F4F31B3"/>
    <w:rsid w:val="7F621B72"/>
    <w:rsid w:val="7F8C239D"/>
    <w:rsid w:val="7F9F6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ABBAC1"/>
  <w15:docId w15:val="{9ED6DD6E-70A5-40CD-BA02-3A37250C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32B"/>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lang w:val="zh-CN"/>
    </w:rPr>
  </w:style>
  <w:style w:type="paragraph" w:styleId="30">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qFormat/>
    <w:pP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f">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qFormat/>
    <w:rPr>
      <w:b/>
    </w:rPr>
  </w:style>
  <w:style w:type="character" w:styleId="af3">
    <w:name w:val="page number"/>
    <w:basedOn w:val="a0"/>
    <w:qFormat/>
  </w:style>
  <w:style w:type="character" w:styleId="af4">
    <w:name w:val="Hyperlink"/>
    <w:basedOn w:val="a0"/>
    <w:uiPriority w:val="99"/>
    <w:qFormat/>
    <w:rPr>
      <w:color w:val="0000FF"/>
      <w:u w:val="single"/>
    </w:rPr>
  </w:style>
  <w:style w:type="character" w:styleId="af5">
    <w:name w:val="annotation reference"/>
    <w:basedOn w:val="a0"/>
    <w:qFormat/>
    <w:rPr>
      <w:sz w:val="21"/>
    </w:rPr>
  </w:style>
  <w:style w:type="character" w:styleId="af6">
    <w:name w:val="footnote reference"/>
    <w:basedOn w:val="a0"/>
    <w:qFormat/>
    <w:rPr>
      <w:vertAlign w:val="superscript"/>
    </w:rPr>
  </w:style>
  <w:style w:type="character" w:customStyle="1" w:styleId="a8">
    <w:name w:val="正文文本 字符"/>
    <w:link w:val="a7"/>
    <w:qFormat/>
    <w:rPr>
      <w:rFonts w:ascii="宋体"/>
      <w:lang w:val="zh-CN" w:eastAsia="zh-CN"/>
    </w:rPr>
  </w:style>
  <w:style w:type="character" w:customStyle="1" w:styleId="unnamed11">
    <w:name w:val="unnamed11"/>
    <w:basedOn w:val="a0"/>
    <w:qFormat/>
    <w:rPr>
      <w:rFonts w:ascii="宋体" w:eastAsia="宋体" w:hAnsi="宋体" w:hint="eastAsia"/>
      <w:sz w:val="18"/>
    </w:rPr>
  </w:style>
  <w:style w:type="character" w:customStyle="1" w:styleId="af1">
    <w:name w:val="标题 字符"/>
    <w:basedOn w:val="a0"/>
    <w:link w:val="af0"/>
    <w:qFormat/>
    <w:rPr>
      <w:rFonts w:ascii="Cambria" w:hAnsi="Cambria"/>
      <w:b/>
      <w:kern w:val="2"/>
      <w:sz w:val="32"/>
    </w:rPr>
  </w:style>
  <w:style w:type="character" w:customStyle="1" w:styleId="ae">
    <w:name w:val="页眉 字符"/>
    <w:basedOn w:val="a0"/>
    <w:link w:val="ad"/>
    <w:qFormat/>
    <w:rPr>
      <w:kern w:val="2"/>
      <w:sz w:val="18"/>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af7">
    <w:name w:val="正文正文"/>
    <w:basedOn w:val="a"/>
    <w:qFormat/>
    <w:pPr>
      <w:spacing w:afterLines="25"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8">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paragraph" w:customStyle="1" w:styleId="Char2">
    <w:name w:val="Char2"/>
    <w:basedOn w:val="a"/>
    <w:qFormat/>
  </w:style>
  <w:style w:type="paragraph" w:customStyle="1" w:styleId="CharCharCharChar1">
    <w:name w:val="Char Char Char Char1"/>
    <w:basedOn w:val="a"/>
    <w:qFormat/>
    <w:pPr>
      <w:tabs>
        <w:tab w:val="left" w:pos="360"/>
      </w:tabs>
    </w:pPr>
  </w:style>
  <w:style w:type="paragraph" w:customStyle="1" w:styleId="CharChar2">
    <w:name w:val="Char Char2"/>
    <w:basedOn w:val="a"/>
    <w:qFormat/>
  </w:style>
  <w:style w:type="paragraph" w:customStyle="1" w:styleId="CharChar11">
    <w:name w:val="Char Char11"/>
    <w:basedOn w:val="a"/>
    <w:qFormat/>
  </w:style>
  <w:style w:type="paragraph" w:customStyle="1" w:styleId="CharCharChar1">
    <w:name w:val="Char Char Char1"/>
    <w:basedOn w:val="a"/>
    <w:qFormat/>
  </w:style>
  <w:style w:type="paragraph" w:customStyle="1" w:styleId="CharChar3">
    <w:name w:val="Char Char3"/>
    <w:basedOn w:val="a"/>
    <w:qFormat/>
  </w:style>
  <w:style w:type="character" w:customStyle="1" w:styleId="ac">
    <w:name w:val="页脚 字符"/>
    <w:basedOn w:val="a0"/>
    <w:link w:val="ab"/>
    <w:uiPriority w:val="99"/>
    <w:qFormat/>
    <w:rPr>
      <w:kern w:val="2"/>
      <w:sz w:val="18"/>
    </w:rPr>
  </w:style>
  <w:style w:type="paragraph" w:customStyle="1" w:styleId="21">
    <w:name w:val="修订2"/>
    <w:hidden/>
    <w:uiPriority w:val="99"/>
    <w:semiHidden/>
    <w:qFormat/>
    <w:rPr>
      <w:kern w:val="2"/>
      <w:sz w:val="21"/>
    </w:rPr>
  </w:style>
  <w:style w:type="paragraph" w:customStyle="1" w:styleId="12">
    <w:name w:val="列出段落1"/>
    <w:basedOn w:val="a"/>
    <w:uiPriority w:val="99"/>
    <w:qFormat/>
    <w:pPr>
      <w:ind w:firstLineChars="200" w:firstLine="420"/>
    </w:pPr>
  </w:style>
  <w:style w:type="paragraph" w:customStyle="1" w:styleId="CharChar41">
    <w:name w:val="Char Char41"/>
    <w:basedOn w:val="a"/>
    <w:qFormat/>
  </w:style>
  <w:style w:type="paragraph" w:customStyle="1" w:styleId="CharChar4">
    <w:name w:val="Char Char4"/>
    <w:basedOn w:val="a"/>
    <w:qFormat/>
  </w:style>
  <w:style w:type="paragraph" w:customStyle="1" w:styleId="32">
    <w:name w:val="修订3"/>
    <w:hidden/>
    <w:uiPriority w:val="99"/>
    <w:semiHidden/>
    <w:qFormat/>
    <w:rPr>
      <w:kern w:val="2"/>
      <w:sz w:val="21"/>
    </w:rPr>
  </w:style>
  <w:style w:type="paragraph" w:customStyle="1" w:styleId="4">
    <w:name w:val="修订4"/>
    <w:hidden/>
    <w:uiPriority w:val="99"/>
    <w:semiHidden/>
    <w:qFormat/>
    <w:rPr>
      <w:kern w:val="2"/>
      <w:sz w:val="21"/>
    </w:rPr>
  </w:style>
  <w:style w:type="paragraph" w:customStyle="1" w:styleId="p0">
    <w:name w:val="p0"/>
    <w:basedOn w:val="a"/>
    <w:qFormat/>
    <w:pPr>
      <w:widowControl/>
    </w:pPr>
    <w:rPr>
      <w:kern w:val="0"/>
      <w:szCs w:val="21"/>
    </w:rPr>
  </w:style>
  <w:style w:type="paragraph" w:customStyle="1" w:styleId="5">
    <w:name w:val="修订5"/>
    <w:hidden/>
    <w:uiPriority w:val="99"/>
    <w:semiHidden/>
    <w:qFormat/>
    <w:rPr>
      <w:kern w:val="2"/>
      <w:sz w:val="21"/>
    </w:rPr>
  </w:style>
  <w:style w:type="character" w:customStyle="1" w:styleId="a6">
    <w:name w:val="批注文字 字符"/>
    <w:link w:val="a5"/>
    <w:qFormat/>
    <w:rPr>
      <w:kern w:val="2"/>
      <w:sz w:val="21"/>
    </w:rPr>
  </w:style>
  <w:style w:type="paragraph" w:customStyle="1" w:styleId="6">
    <w:name w:val="修订6"/>
    <w:hidden/>
    <w:uiPriority w:val="99"/>
    <w:semiHidden/>
    <w:qFormat/>
    <w:rPr>
      <w:kern w:val="2"/>
      <w:sz w:val="21"/>
    </w:rPr>
  </w:style>
  <w:style w:type="paragraph" w:customStyle="1" w:styleId="310">
    <w:name w:val="正文文本缩进 31"/>
    <w:basedOn w:val="a"/>
    <w:qFormat/>
    <w:pPr>
      <w:autoSpaceDE w:val="0"/>
      <w:autoSpaceDN w:val="0"/>
      <w:adjustRightInd w:val="0"/>
      <w:spacing w:line="360" w:lineRule="auto"/>
      <w:ind w:left="420" w:firstLine="435"/>
    </w:pPr>
    <w:rPr>
      <w:color w:val="0000FF"/>
    </w:rPr>
  </w:style>
  <w:style w:type="paragraph" w:customStyle="1" w:styleId="af9">
    <w:name w:val="特点"/>
    <w:basedOn w:val="a"/>
    <w:next w:val="310"/>
    <w:qFormat/>
    <w:pPr>
      <w:spacing w:after="120"/>
      <w:ind w:leftChars="200" w:left="420"/>
    </w:pPr>
    <w:rPr>
      <w:sz w:val="16"/>
    </w:rPr>
  </w:style>
  <w:style w:type="paragraph" w:customStyle="1" w:styleId="CharChar5">
    <w:name w:val="Char Char5"/>
    <w:basedOn w:val="a"/>
    <w:qFormat/>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7">
    <w:name w:val="修订7"/>
    <w:hidden/>
    <w:uiPriority w:val="99"/>
    <w:semiHidden/>
    <w:qFormat/>
    <w:rPr>
      <w:kern w:val="2"/>
      <w:sz w:val="21"/>
    </w:rPr>
  </w:style>
  <w:style w:type="paragraph" w:styleId="afa">
    <w:name w:val="List Paragraph"/>
    <w:basedOn w:val="a"/>
    <w:uiPriority w:val="99"/>
    <w:qFormat/>
    <w:pPr>
      <w:ind w:firstLineChars="200" w:firstLine="420"/>
    </w:pPr>
  </w:style>
  <w:style w:type="paragraph" w:customStyle="1" w:styleId="8">
    <w:name w:val="修订8"/>
    <w:hidden/>
    <w:uiPriority w:val="99"/>
    <w:semiHidden/>
    <w:qFormat/>
    <w:rPr>
      <w:kern w:val="2"/>
      <w:sz w:val="21"/>
    </w:rPr>
  </w:style>
  <w:style w:type="paragraph" w:styleId="afb">
    <w:name w:val="Revision"/>
    <w:hidden/>
    <w:uiPriority w:val="99"/>
    <w:semiHidden/>
    <w:rsid w:val="000326AD"/>
    <w:rPr>
      <w:kern w:val="2"/>
      <w:sz w:val="21"/>
    </w:rPr>
  </w:style>
  <w:style w:type="character" w:customStyle="1" w:styleId="13">
    <w:name w:val="批注文字 字符1"/>
    <w:qFormat/>
    <w:rsid w:val="00167C7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62378-844B-4B38-AA31-5B531C19E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120</Pages>
  <Words>12029</Words>
  <Characters>68571</Characters>
  <Application>Microsoft Office Word</Application>
  <DocSecurity>0</DocSecurity>
  <Lines>571</Lines>
  <Paragraphs>160</Paragraphs>
  <ScaleCrop>false</ScaleCrop>
  <Company>Microsoft</Company>
  <LinksUpToDate>false</LinksUpToDate>
  <CharactersWithSpaces>80440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董明睿</dc:creator>
  <cp:lastModifiedBy>wjy</cp:lastModifiedBy>
  <cp:revision>25</cp:revision>
  <cp:lastPrinted>2025-08-11T00:53:00Z</cp:lastPrinted>
  <dcterms:created xsi:type="dcterms:W3CDTF">2025-12-03T09:35:00Z</dcterms:created>
  <dcterms:modified xsi:type="dcterms:W3CDTF">2026-04-21T03:47:00Z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54189405864248F6A6DD618870493258</vt:lpwstr>
  </property>
  <property fmtid="{D5CDD505-2E9C-101B-9397-08002B2CF9AE}" pid="4" name="_KSOProductBuildMID">
    <vt:lpwstr>CPWMY6GQ79TQ00BGQVR8IL0C7ZCMOXGR9X0XNJD8XF88TFWT60BRVC0HFS6TPFRRBNM6COZ8ZHJD8INJQJFARFFV89Q0WHWB8NOORHB3AF6BEA409C4EB605B1C0B8E74C38EC0A</vt:lpwstr>
  </property>
  <property fmtid="{D5CDD505-2E9C-101B-9397-08002B2CF9AE}" pid="5" name="_KSOProductBuildSID">
    <vt:lpwstr>5D7F17DE438B7B89B548703F192B3329</vt:lpwstr>
  </property>
</Properties>
</file>