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7F67F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高净值代发专享</w:t>
            </w:r>
            <w:r>
              <w:rPr>
                <w:rFonts w:hint="eastAsia"/>
                <w:sz w:val="18"/>
                <w:szCs w:val="18"/>
              </w:rPr>
              <w:t>)19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180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HN072019180268D01</w:t>
            </w:r>
          </w:p>
        </w:tc>
        <w:tc>
          <w:tcPr>
            <w:tcW w:w="599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C1010519004324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266</w:t>
            </w:r>
          </w:p>
        </w:tc>
        <w:tc>
          <w:tcPr>
            <w:tcW w:w="448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4.28%</w:t>
            </w:r>
          </w:p>
        </w:tc>
        <w:tc>
          <w:tcPr>
            <w:tcW w:w="364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7F67FC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236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HN072019236240D01</w:t>
            </w:r>
          </w:p>
        </w:tc>
        <w:tc>
          <w:tcPr>
            <w:tcW w:w="599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C1010519007957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245</w:t>
            </w:r>
          </w:p>
        </w:tc>
        <w:tc>
          <w:tcPr>
            <w:tcW w:w="448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F67FC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238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HN072019238270D01</w:t>
            </w:r>
          </w:p>
        </w:tc>
        <w:tc>
          <w:tcPr>
            <w:tcW w:w="599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C1010519007959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238</w:t>
            </w:r>
          </w:p>
        </w:tc>
        <w:tc>
          <w:tcPr>
            <w:tcW w:w="448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3.95%</w:t>
            </w:r>
          </w:p>
        </w:tc>
        <w:tc>
          <w:tcPr>
            <w:tcW w:w="364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F67FC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283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HN072019283210D01</w:t>
            </w:r>
          </w:p>
        </w:tc>
        <w:tc>
          <w:tcPr>
            <w:tcW w:w="599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C1010519009105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203</w:t>
            </w:r>
          </w:p>
        </w:tc>
        <w:tc>
          <w:tcPr>
            <w:tcW w:w="448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F67FC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286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HN072019286198D01</w:t>
            </w:r>
          </w:p>
        </w:tc>
        <w:tc>
          <w:tcPr>
            <w:tcW w:w="599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C1010519009108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196</w:t>
            </w:r>
          </w:p>
        </w:tc>
        <w:tc>
          <w:tcPr>
            <w:tcW w:w="448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4.15%</w:t>
            </w:r>
          </w:p>
        </w:tc>
        <w:tc>
          <w:tcPr>
            <w:tcW w:w="364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F67FC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317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HN072019317163D01</w:t>
            </w:r>
          </w:p>
        </w:tc>
        <w:tc>
          <w:tcPr>
            <w:tcW w:w="599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C1010519009868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182</w:t>
            </w:r>
          </w:p>
        </w:tc>
        <w:tc>
          <w:tcPr>
            <w:tcW w:w="448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4.26%</w:t>
            </w:r>
          </w:p>
        </w:tc>
        <w:tc>
          <w:tcPr>
            <w:tcW w:w="364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7F67FC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343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HN072019343147D01</w:t>
            </w:r>
          </w:p>
        </w:tc>
        <w:tc>
          <w:tcPr>
            <w:tcW w:w="599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C1010519010667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154</w:t>
            </w:r>
          </w:p>
        </w:tc>
        <w:tc>
          <w:tcPr>
            <w:tcW w:w="448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3.90%</w:t>
            </w:r>
          </w:p>
        </w:tc>
        <w:tc>
          <w:tcPr>
            <w:tcW w:w="364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F67FC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373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HN072019373154D01</w:t>
            </w:r>
          </w:p>
        </w:tc>
        <w:tc>
          <w:tcPr>
            <w:tcW w:w="599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C1010519010670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132</w:t>
            </w:r>
          </w:p>
        </w:tc>
        <w:tc>
          <w:tcPr>
            <w:tcW w:w="448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3.63%</w:t>
            </w:r>
          </w:p>
        </w:tc>
        <w:tc>
          <w:tcPr>
            <w:tcW w:w="364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F67FC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412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7F67FC" w:rsidRDefault="007F67F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HN072019412126D01</w:t>
            </w:r>
          </w:p>
        </w:tc>
        <w:tc>
          <w:tcPr>
            <w:tcW w:w="599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C1010519011141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F67FC" w:rsidRDefault="007F67F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126</w:t>
            </w:r>
          </w:p>
        </w:tc>
        <w:tc>
          <w:tcPr>
            <w:tcW w:w="448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3.85%</w:t>
            </w:r>
          </w:p>
        </w:tc>
        <w:tc>
          <w:tcPr>
            <w:tcW w:w="364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F67FC" w:rsidRDefault="007F67F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lastRenderedPageBreak/>
        <w:t>中国建设银行股份有限公司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DD6F16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40197B">
        <w:rPr>
          <w:rFonts w:ascii="宋体" w:hAnsi="宋体" w:hint="eastAsia"/>
          <w:szCs w:val="21"/>
        </w:rPr>
        <w:t>1</w:t>
      </w:r>
      <w:r w:rsidR="007F67FC">
        <w:rPr>
          <w:rFonts w:ascii="宋体" w:hAnsi="宋体" w:hint="eastAsia"/>
          <w:szCs w:val="21"/>
        </w:rPr>
        <w:t>7</w:t>
      </w:r>
      <w:bookmarkStart w:id="0" w:name="_GoBack"/>
      <w:bookmarkEnd w:id="0"/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DD" w:rsidRDefault="00B531DD" w:rsidP="00694936">
      <w:r>
        <w:separator/>
      </w:r>
    </w:p>
  </w:endnote>
  <w:endnote w:type="continuationSeparator" w:id="0">
    <w:p w:rsidR="00B531DD" w:rsidRDefault="00B531DD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DD" w:rsidRDefault="00B531DD" w:rsidP="00694936">
      <w:r>
        <w:separator/>
      </w:r>
    </w:p>
  </w:footnote>
  <w:footnote w:type="continuationSeparator" w:id="0">
    <w:p w:rsidR="00B531DD" w:rsidRDefault="00B531DD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64CDD"/>
    <w:rsid w:val="000776D0"/>
    <w:rsid w:val="000A0B5E"/>
    <w:rsid w:val="000C58E0"/>
    <w:rsid w:val="00117814"/>
    <w:rsid w:val="0016358A"/>
    <w:rsid w:val="00167A31"/>
    <w:rsid w:val="001E0993"/>
    <w:rsid w:val="001F4DB8"/>
    <w:rsid w:val="002A7BD6"/>
    <w:rsid w:val="002E2F29"/>
    <w:rsid w:val="003839FC"/>
    <w:rsid w:val="003C1669"/>
    <w:rsid w:val="003C26FC"/>
    <w:rsid w:val="0040197B"/>
    <w:rsid w:val="00432B8A"/>
    <w:rsid w:val="0043461C"/>
    <w:rsid w:val="0047219A"/>
    <w:rsid w:val="004A2FE9"/>
    <w:rsid w:val="004D102D"/>
    <w:rsid w:val="004D338D"/>
    <w:rsid w:val="004D7067"/>
    <w:rsid w:val="004D7428"/>
    <w:rsid w:val="004F0FE4"/>
    <w:rsid w:val="004F7745"/>
    <w:rsid w:val="005207BC"/>
    <w:rsid w:val="00535FDD"/>
    <w:rsid w:val="005527B2"/>
    <w:rsid w:val="00587C83"/>
    <w:rsid w:val="005C6714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47E3D"/>
    <w:rsid w:val="007F2517"/>
    <w:rsid w:val="007F67FC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56A9F"/>
    <w:rsid w:val="009B3082"/>
    <w:rsid w:val="009C4016"/>
    <w:rsid w:val="009D423B"/>
    <w:rsid w:val="00A126E2"/>
    <w:rsid w:val="00A42D37"/>
    <w:rsid w:val="00A54DBE"/>
    <w:rsid w:val="00AE00BA"/>
    <w:rsid w:val="00AF42FE"/>
    <w:rsid w:val="00B1397A"/>
    <w:rsid w:val="00B15EC5"/>
    <w:rsid w:val="00B172F6"/>
    <w:rsid w:val="00B50C1A"/>
    <w:rsid w:val="00B5232D"/>
    <w:rsid w:val="00B531DD"/>
    <w:rsid w:val="00B90285"/>
    <w:rsid w:val="00B92C6F"/>
    <w:rsid w:val="00BB45CB"/>
    <w:rsid w:val="00BB7DC6"/>
    <w:rsid w:val="00C331A9"/>
    <w:rsid w:val="00C77293"/>
    <w:rsid w:val="00C80378"/>
    <w:rsid w:val="00C950CA"/>
    <w:rsid w:val="00CF1E44"/>
    <w:rsid w:val="00D02FE7"/>
    <w:rsid w:val="00D136C9"/>
    <w:rsid w:val="00D24A87"/>
    <w:rsid w:val="00D42D93"/>
    <w:rsid w:val="00D52EB1"/>
    <w:rsid w:val="00D60414"/>
    <w:rsid w:val="00D815E2"/>
    <w:rsid w:val="00DC507F"/>
    <w:rsid w:val="00DD6F16"/>
    <w:rsid w:val="00DD7084"/>
    <w:rsid w:val="00DD74A9"/>
    <w:rsid w:val="00DF4D3E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49</cp:revision>
  <cp:lastPrinted>2019-11-15T03:42:00Z</cp:lastPrinted>
  <dcterms:created xsi:type="dcterms:W3CDTF">2019-07-30T06:45:00Z</dcterms:created>
  <dcterms:modified xsi:type="dcterms:W3CDTF">2020-01-17T06:50:00Z</dcterms:modified>
</cp:coreProperties>
</file>